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99C4DF" w14:textId="634517FC" w:rsidR="0009296D" w:rsidRPr="00030884" w:rsidRDefault="0009296D" w:rsidP="0009296D">
      <w:pPr>
        <w:pStyle w:val="3GPPHeader"/>
        <w:spacing w:after="60"/>
        <w:rPr>
          <w:sz w:val="32"/>
          <w:szCs w:val="32"/>
        </w:rPr>
      </w:pPr>
      <w:r w:rsidRPr="00030884">
        <w:t>3GPP TSG-RAN WG1 Meeting #</w:t>
      </w:r>
      <w:r w:rsidR="003233A1">
        <w:t>9</w:t>
      </w:r>
      <w:r w:rsidR="000F35DF">
        <w:t>3</w:t>
      </w:r>
      <w:r w:rsidRPr="00030884">
        <w:tab/>
      </w:r>
      <w:r w:rsidR="002134B0" w:rsidRPr="002134B0">
        <w:rPr>
          <w:sz w:val="32"/>
          <w:szCs w:val="32"/>
        </w:rPr>
        <w:t>R1</w:t>
      </w:r>
      <w:r w:rsidR="00270063" w:rsidRPr="00270063">
        <w:rPr>
          <w:sz w:val="32"/>
          <w:szCs w:val="32"/>
        </w:rPr>
        <w:t>-1805853</w:t>
      </w:r>
    </w:p>
    <w:p w14:paraId="5FCD4219" w14:textId="702DE33B" w:rsidR="00E90E49" w:rsidRPr="00030884" w:rsidRDefault="000F35DF" w:rsidP="00357380">
      <w:pPr>
        <w:pStyle w:val="3GPPHeader"/>
      </w:pPr>
      <w:r w:rsidRPr="000F35DF">
        <w:t>Busan, Korea 21th Feb – 25th May 2018</w:t>
      </w:r>
    </w:p>
    <w:p w14:paraId="13F6C3A6" w14:textId="4AEF0DD3" w:rsidR="0016544B" w:rsidRPr="002D3D0B" w:rsidRDefault="00E90E49" w:rsidP="00F64C2B">
      <w:pPr>
        <w:pStyle w:val="3GPPHeader"/>
        <w:rPr>
          <w:sz w:val="22"/>
        </w:rPr>
      </w:pPr>
      <w:r w:rsidRPr="002D3D0B">
        <w:rPr>
          <w:sz w:val="22"/>
        </w:rPr>
        <w:t>Agenda Item:</w:t>
      </w:r>
      <w:r w:rsidRPr="002D3D0B">
        <w:rPr>
          <w:sz w:val="22"/>
        </w:rPr>
        <w:tab/>
      </w:r>
      <w:r w:rsidR="0016544B" w:rsidRPr="004023DE">
        <w:rPr>
          <w:sz w:val="22"/>
        </w:rPr>
        <w:t>6.2.6.</w:t>
      </w:r>
      <w:r w:rsidR="004023DE" w:rsidRPr="004023DE">
        <w:rPr>
          <w:sz w:val="22"/>
        </w:rPr>
        <w:t>5</w:t>
      </w:r>
      <w:r w:rsidR="0016544B" w:rsidRPr="002D3D0B">
        <w:rPr>
          <w:sz w:val="22"/>
        </w:rPr>
        <w:t xml:space="preserve"> </w:t>
      </w:r>
    </w:p>
    <w:p w14:paraId="684B06A7" w14:textId="23E7F034" w:rsidR="00E90E49" w:rsidRPr="00030884" w:rsidRDefault="003D3C45" w:rsidP="00F64C2B">
      <w:pPr>
        <w:pStyle w:val="3GPPHeader"/>
        <w:rPr>
          <w:sz w:val="22"/>
        </w:rPr>
      </w:pPr>
      <w:r w:rsidRPr="00030884">
        <w:rPr>
          <w:sz w:val="22"/>
        </w:rPr>
        <w:t>Source:</w:t>
      </w:r>
      <w:r w:rsidR="00E90E49" w:rsidRPr="00030884">
        <w:rPr>
          <w:sz w:val="22"/>
        </w:rPr>
        <w:tab/>
      </w:r>
      <w:r w:rsidR="00F64C2B" w:rsidRPr="00030884">
        <w:rPr>
          <w:sz w:val="22"/>
        </w:rPr>
        <w:t>Ericsson</w:t>
      </w:r>
    </w:p>
    <w:p w14:paraId="214B1E52" w14:textId="47716A9C" w:rsidR="00E90E49" w:rsidRPr="00030884" w:rsidRDefault="003D3C45" w:rsidP="00547F4D">
      <w:pPr>
        <w:pStyle w:val="3GPPHeader"/>
        <w:ind w:left="1701" w:hanging="1701"/>
        <w:rPr>
          <w:sz w:val="22"/>
        </w:rPr>
      </w:pPr>
      <w:r w:rsidRPr="00030884">
        <w:rPr>
          <w:sz w:val="22"/>
        </w:rPr>
        <w:t>Title:</w:t>
      </w:r>
      <w:r w:rsidR="006B5B0F" w:rsidRPr="00030884">
        <w:rPr>
          <w:sz w:val="22"/>
        </w:rPr>
        <w:tab/>
      </w:r>
      <w:r w:rsidR="005B66F0">
        <w:rPr>
          <w:sz w:val="22"/>
        </w:rPr>
        <w:t>Flexible PDSCH/</w:t>
      </w:r>
      <w:r w:rsidR="005B66F0" w:rsidRPr="005B66F0">
        <w:rPr>
          <w:sz w:val="22"/>
        </w:rPr>
        <w:t>PUSCH starting PRB for MTC</w:t>
      </w:r>
    </w:p>
    <w:p w14:paraId="248031E0" w14:textId="78D703A8" w:rsidR="00E90E49" w:rsidRPr="00030884" w:rsidRDefault="00E90E49" w:rsidP="00B8099A">
      <w:pPr>
        <w:pStyle w:val="3GPPHeader"/>
        <w:rPr>
          <w:sz w:val="22"/>
        </w:rPr>
      </w:pPr>
      <w:r w:rsidRPr="00030884">
        <w:rPr>
          <w:sz w:val="22"/>
        </w:rPr>
        <w:t>Document for:</w:t>
      </w:r>
      <w:r w:rsidRPr="00030884">
        <w:rPr>
          <w:sz w:val="22"/>
        </w:rPr>
        <w:tab/>
      </w:r>
      <w:r w:rsidR="001877A9">
        <w:rPr>
          <w:sz w:val="22"/>
        </w:rPr>
        <w:t>Decision</w:t>
      </w:r>
    </w:p>
    <w:p w14:paraId="65062EEC" w14:textId="77777777" w:rsidR="00E90E49" w:rsidRPr="00030884" w:rsidRDefault="00E90E49" w:rsidP="00CE0424">
      <w:pPr>
        <w:pStyle w:val="Heading1"/>
        <w:rPr>
          <w:lang w:val="en-US"/>
        </w:rPr>
      </w:pPr>
      <w:r w:rsidRPr="00030884">
        <w:rPr>
          <w:lang w:val="en-US"/>
        </w:rPr>
        <w:t>Introduction</w:t>
      </w:r>
    </w:p>
    <w:p w14:paraId="5B100288" w14:textId="3FE6D0B0" w:rsidR="006D5671" w:rsidRDefault="006D5671" w:rsidP="00C35570">
      <w:pPr>
        <w:rPr>
          <w:lang w:val="en-GB"/>
        </w:rPr>
      </w:pPr>
      <w:r>
        <w:rPr>
          <w:lang w:val="en-GB"/>
        </w:rPr>
        <w:t>The r</w:t>
      </w:r>
      <w:r w:rsidRPr="006D5671">
        <w:rPr>
          <w:lang w:val="en-GB"/>
        </w:rPr>
        <w:t>evised WID for Rel-15</w:t>
      </w:r>
      <w:r>
        <w:rPr>
          <w:lang w:val="en-GB"/>
        </w:rPr>
        <w:t xml:space="preserve"> on ’</w:t>
      </w:r>
      <w:r>
        <w:t xml:space="preserve">Even further enhanced MTC for LTE’ </w:t>
      </w:r>
      <w:r w:rsidR="007E5C8E">
        <w:fldChar w:fldCharType="begin"/>
      </w:r>
      <w:r w:rsidR="007E5C8E">
        <w:instrText xml:space="preserve"> REF _Ref504487352 \r \h </w:instrText>
      </w:r>
      <w:r w:rsidR="007E5C8E">
        <w:fldChar w:fldCharType="separate"/>
      </w:r>
      <w:r w:rsidR="00725BFD">
        <w:t>[1]</w:t>
      </w:r>
      <w:r w:rsidR="007E5C8E">
        <w:fldChar w:fldCharType="end"/>
      </w:r>
      <w:r w:rsidR="007E5C8E">
        <w:t xml:space="preserve"> </w:t>
      </w:r>
      <w:r w:rsidR="00760BB7">
        <w:rPr>
          <w:lang w:val="en-GB"/>
        </w:rPr>
        <w:t>has updated objectives on</w:t>
      </w:r>
    </w:p>
    <w:p w14:paraId="78779033" w14:textId="77777777" w:rsidR="00760BB7" w:rsidRDefault="00760BB7" w:rsidP="00760BB7">
      <w:pPr>
        <w:numPr>
          <w:ilvl w:val="0"/>
          <w:numId w:val="22"/>
        </w:numPr>
        <w:overflowPunct w:val="0"/>
        <w:autoSpaceDE w:val="0"/>
        <w:autoSpaceDN w:val="0"/>
        <w:adjustRightInd w:val="0"/>
        <w:spacing w:after="180" w:line="240" w:lineRule="auto"/>
        <w:ind w:right="-99"/>
        <w:rPr>
          <w:rFonts w:ascii="Times New Roman" w:eastAsia="SimSun" w:hAnsi="Times New Roman" w:cs="Times New Roman"/>
          <w:sz w:val="20"/>
          <w:szCs w:val="20"/>
          <w:lang w:eastAsia="ja-JP"/>
        </w:rPr>
      </w:pPr>
      <w:r>
        <w:rPr>
          <w:rFonts w:eastAsia="SimSun"/>
          <w:lang w:eastAsia="ja-JP"/>
        </w:rPr>
        <w:t xml:space="preserve">Increased PDSCH spectral efficiency </w:t>
      </w:r>
      <w:r>
        <w:rPr>
          <w:rFonts w:eastAsia="SimSun"/>
          <w:color w:val="808080"/>
          <w:lang w:eastAsia="ja-JP"/>
        </w:rPr>
        <w:t>[RAN1 lead, RAN2, RAN4]</w:t>
      </w:r>
    </w:p>
    <w:p w14:paraId="1DE3E5F9" w14:textId="77777777" w:rsidR="00760BB7" w:rsidRDefault="00760BB7" w:rsidP="00760BB7">
      <w:pPr>
        <w:numPr>
          <w:ilvl w:val="1"/>
          <w:numId w:val="22"/>
        </w:numPr>
        <w:overflowPunct w:val="0"/>
        <w:autoSpaceDE w:val="0"/>
        <w:autoSpaceDN w:val="0"/>
        <w:adjustRightInd w:val="0"/>
        <w:spacing w:after="180" w:line="240" w:lineRule="auto"/>
        <w:ind w:right="-99"/>
        <w:rPr>
          <w:rFonts w:eastAsia="SimSun"/>
          <w:lang w:eastAsia="ja-JP"/>
        </w:rPr>
      </w:pPr>
      <w:r>
        <w:rPr>
          <w:rFonts w:eastAsia="SimSun"/>
          <w:lang w:eastAsia="ja-JP"/>
        </w:rPr>
        <w:t>Specify optional support for 64QAM for unicast PDSCH (no UE peak rate increase is intended).</w:t>
      </w:r>
    </w:p>
    <w:p w14:paraId="4AFA353B" w14:textId="77777777" w:rsidR="00760BB7" w:rsidRPr="007E5C8E" w:rsidRDefault="00760BB7" w:rsidP="00760BB7">
      <w:pPr>
        <w:numPr>
          <w:ilvl w:val="1"/>
          <w:numId w:val="22"/>
        </w:numPr>
        <w:overflowPunct w:val="0"/>
        <w:autoSpaceDE w:val="0"/>
        <w:autoSpaceDN w:val="0"/>
        <w:adjustRightInd w:val="0"/>
        <w:spacing w:after="180" w:line="240" w:lineRule="auto"/>
        <w:ind w:right="-99"/>
        <w:rPr>
          <w:rFonts w:eastAsia="SimSun"/>
          <w:highlight w:val="green"/>
          <w:lang w:eastAsia="ja-JP"/>
        </w:rPr>
      </w:pPr>
      <w:r w:rsidRPr="007E5C8E">
        <w:rPr>
          <w:rFonts w:eastAsia="SimSun"/>
          <w:highlight w:val="green"/>
          <w:lang w:eastAsia="ja-JP"/>
        </w:rPr>
        <w:t xml:space="preserve">Introduce support for more flexible </w:t>
      </w:r>
      <w:bookmarkStart w:id="0" w:name="_Hlk504651422"/>
      <w:r w:rsidRPr="007E5C8E">
        <w:rPr>
          <w:rFonts w:eastAsia="SimSun"/>
          <w:highlight w:val="green"/>
          <w:lang w:eastAsia="ja-JP"/>
        </w:rPr>
        <w:t xml:space="preserve">starting PRB for PDSCH resource allocation </w:t>
      </w:r>
      <w:bookmarkEnd w:id="0"/>
      <w:r w:rsidRPr="007E5C8E">
        <w:rPr>
          <w:rFonts w:eastAsia="SimSun"/>
          <w:highlight w:val="green"/>
          <w:lang w:eastAsia="ja-JP"/>
        </w:rPr>
        <w:t>in connected mode at least for UE operating in CE mode A/B configured with 1.4 MHz max PDSCH channel bandwidth.</w:t>
      </w:r>
    </w:p>
    <w:p w14:paraId="7BD905FA" w14:textId="77777777" w:rsidR="00760BB7" w:rsidRDefault="00760BB7" w:rsidP="00760BB7">
      <w:pPr>
        <w:numPr>
          <w:ilvl w:val="0"/>
          <w:numId w:val="22"/>
        </w:numPr>
        <w:overflowPunct w:val="0"/>
        <w:autoSpaceDE w:val="0"/>
        <w:autoSpaceDN w:val="0"/>
        <w:adjustRightInd w:val="0"/>
        <w:spacing w:after="180" w:line="240" w:lineRule="auto"/>
        <w:ind w:right="-99"/>
        <w:rPr>
          <w:rFonts w:eastAsia="SimSun"/>
          <w:lang w:eastAsia="ja-JP"/>
        </w:rPr>
      </w:pPr>
      <w:r>
        <w:rPr>
          <w:rFonts w:eastAsia="SimSun"/>
          <w:lang w:eastAsia="ja-JP"/>
        </w:rPr>
        <w:t xml:space="preserve">Increased PUSCH spectral efficiency </w:t>
      </w:r>
      <w:r>
        <w:rPr>
          <w:rFonts w:eastAsia="SimSun"/>
          <w:color w:val="808080"/>
          <w:lang w:eastAsia="ja-JP"/>
        </w:rPr>
        <w:t>[RAN1 lead, RAN2, RAN4]</w:t>
      </w:r>
    </w:p>
    <w:p w14:paraId="4FC73717" w14:textId="77777777" w:rsidR="00760BB7" w:rsidRDefault="00760BB7" w:rsidP="00760BB7">
      <w:pPr>
        <w:numPr>
          <w:ilvl w:val="0"/>
          <w:numId w:val="23"/>
        </w:numPr>
        <w:overflowPunct w:val="0"/>
        <w:autoSpaceDE w:val="0"/>
        <w:autoSpaceDN w:val="0"/>
        <w:adjustRightInd w:val="0"/>
        <w:spacing w:after="180" w:line="240" w:lineRule="auto"/>
        <w:ind w:right="-99"/>
        <w:rPr>
          <w:rFonts w:eastAsia="SimSun"/>
          <w:lang w:eastAsia="ja-JP"/>
        </w:rPr>
      </w:pPr>
      <w:r>
        <w:rPr>
          <w:rFonts w:eastAsia="SimSun"/>
          <w:lang w:eastAsia="ja-JP"/>
        </w:rPr>
        <w:t>E.g. sub-PRB resource allocation, with no less than 3 subcarriers within a sub-PRB allocation.</w:t>
      </w:r>
    </w:p>
    <w:p w14:paraId="032D7C35" w14:textId="2FDCA8E4" w:rsidR="00760BB7" w:rsidRPr="007E5C8E" w:rsidRDefault="00760BB7" w:rsidP="00C35570">
      <w:pPr>
        <w:numPr>
          <w:ilvl w:val="0"/>
          <w:numId w:val="23"/>
        </w:numPr>
        <w:overflowPunct w:val="0"/>
        <w:autoSpaceDE w:val="0"/>
        <w:autoSpaceDN w:val="0"/>
        <w:adjustRightInd w:val="0"/>
        <w:spacing w:after="180" w:line="240" w:lineRule="auto"/>
        <w:ind w:right="-99"/>
        <w:rPr>
          <w:rFonts w:eastAsia="SimSun"/>
          <w:highlight w:val="green"/>
          <w:lang w:eastAsia="ja-JP"/>
        </w:rPr>
      </w:pPr>
      <w:r w:rsidRPr="007E5C8E">
        <w:rPr>
          <w:rFonts w:eastAsia="SimSun"/>
          <w:highlight w:val="green"/>
          <w:lang w:eastAsia="ja-JP"/>
        </w:rPr>
        <w:t>Introduce support for more flexible starting PRB for PUSCH resource allocation in connected mode at least for UE operating in CE mode A/B configured with 1.4 MHz max PUSCH channel bandwidth.</w:t>
      </w:r>
    </w:p>
    <w:p w14:paraId="77A83491" w14:textId="77777777" w:rsidR="00354C53" w:rsidRDefault="00354C53" w:rsidP="00354C53">
      <w:pPr>
        <w:rPr>
          <w:rFonts w:eastAsia="Yu Mincho"/>
          <w:szCs w:val="20"/>
          <w:lang w:eastAsia="ja-JP"/>
        </w:rPr>
      </w:pPr>
      <w:r w:rsidRPr="00354C53">
        <w:rPr>
          <w:rFonts w:eastAsia="Yu Mincho"/>
          <w:szCs w:val="20"/>
          <w:lang w:eastAsia="ja-JP"/>
        </w:rPr>
        <w:t>At</w:t>
      </w:r>
      <w:r>
        <w:rPr>
          <w:rFonts w:eastAsia="Yu Mincho"/>
          <w:szCs w:val="20"/>
          <w:lang w:eastAsia="ja-JP"/>
        </w:rPr>
        <w:t xml:space="preserve"> RAN1 #92 the following agreements were made:</w:t>
      </w:r>
      <w:r w:rsidRPr="00354C53">
        <w:rPr>
          <w:rFonts w:eastAsia="Yu Mincho"/>
          <w:szCs w:val="20"/>
          <w:lang w:eastAsia="ja-JP"/>
        </w:rPr>
        <w:t xml:space="preserve"> </w:t>
      </w:r>
    </w:p>
    <w:p w14:paraId="6DF3A8D1" w14:textId="0128072F" w:rsidR="00354C53" w:rsidRPr="00C618AB" w:rsidRDefault="00354C53" w:rsidP="00354C53">
      <w:pPr>
        <w:rPr>
          <w:rFonts w:eastAsia="Yu Mincho"/>
          <w:szCs w:val="20"/>
          <w:lang w:eastAsia="ja-JP"/>
        </w:rPr>
      </w:pPr>
      <w:r w:rsidRPr="00C618AB">
        <w:rPr>
          <w:rFonts w:eastAsia="Yu Mincho"/>
          <w:szCs w:val="20"/>
          <w:highlight w:val="green"/>
          <w:lang w:eastAsia="ja-JP"/>
        </w:rPr>
        <w:t>Agreement</w:t>
      </w:r>
    </w:p>
    <w:p w14:paraId="37A03D35" w14:textId="77777777" w:rsidR="00354C53" w:rsidRPr="00974CDE" w:rsidRDefault="00354C53" w:rsidP="00F9483A">
      <w:pPr>
        <w:ind w:left="360"/>
        <w:rPr>
          <w:rFonts w:eastAsia="Yu Mincho"/>
          <w:i/>
          <w:color w:val="4472C4" w:themeColor="accent5"/>
          <w:szCs w:val="20"/>
          <w:lang w:eastAsia="ja-JP"/>
        </w:rPr>
      </w:pPr>
      <w:r w:rsidRPr="00974CDE">
        <w:rPr>
          <w:i/>
          <w:color w:val="4472C4" w:themeColor="accent5"/>
          <w:szCs w:val="20"/>
        </w:rPr>
        <w:t xml:space="preserve">For a BL/CE UE, </w:t>
      </w:r>
      <w:r w:rsidRPr="00974CDE">
        <w:rPr>
          <w:rFonts w:eastAsia="Yu Mincho"/>
          <w:i/>
          <w:color w:val="4472C4" w:themeColor="accent5"/>
          <w:szCs w:val="20"/>
          <w:lang w:eastAsia="ja-JP"/>
        </w:rPr>
        <w:t>higher layer signaling enable/disable</w:t>
      </w:r>
    </w:p>
    <w:p w14:paraId="1958E7A8" w14:textId="77777777" w:rsidR="00354C53" w:rsidRPr="00974CDE" w:rsidRDefault="00354C53" w:rsidP="00F9483A">
      <w:pPr>
        <w:numPr>
          <w:ilvl w:val="0"/>
          <w:numId w:val="30"/>
        </w:numPr>
        <w:tabs>
          <w:tab w:val="clear" w:pos="720"/>
          <w:tab w:val="num" w:pos="1080"/>
        </w:tabs>
        <w:spacing w:after="0" w:line="240" w:lineRule="auto"/>
        <w:ind w:left="1080"/>
        <w:rPr>
          <w:i/>
          <w:color w:val="4472C4" w:themeColor="accent5"/>
          <w:szCs w:val="20"/>
        </w:rPr>
      </w:pPr>
      <w:r w:rsidRPr="00974CDE">
        <w:rPr>
          <w:i/>
          <w:color w:val="4472C4" w:themeColor="accent5"/>
          <w:szCs w:val="20"/>
        </w:rPr>
        <w:t>the more flexible starting PDSCH PRB</w:t>
      </w:r>
    </w:p>
    <w:p w14:paraId="02BBE3DD" w14:textId="77777777" w:rsidR="00354C53" w:rsidRPr="00974CDE" w:rsidRDefault="00354C53" w:rsidP="00F9483A">
      <w:pPr>
        <w:numPr>
          <w:ilvl w:val="0"/>
          <w:numId w:val="30"/>
        </w:numPr>
        <w:tabs>
          <w:tab w:val="clear" w:pos="720"/>
          <w:tab w:val="num" w:pos="1080"/>
        </w:tabs>
        <w:spacing w:after="0" w:line="240" w:lineRule="auto"/>
        <w:ind w:left="1080"/>
        <w:rPr>
          <w:i/>
          <w:color w:val="4472C4" w:themeColor="accent5"/>
          <w:szCs w:val="20"/>
        </w:rPr>
      </w:pPr>
      <w:r w:rsidRPr="00974CDE">
        <w:rPr>
          <w:i/>
          <w:color w:val="4472C4" w:themeColor="accent5"/>
          <w:szCs w:val="20"/>
        </w:rPr>
        <w:t>the more flexible starting PUSCH PRB</w:t>
      </w:r>
    </w:p>
    <w:p w14:paraId="7FE8BE69" w14:textId="7FF008BC" w:rsidR="00354C53" w:rsidRPr="00974CDE" w:rsidRDefault="00354C53" w:rsidP="00F9483A">
      <w:pPr>
        <w:ind w:left="360"/>
        <w:rPr>
          <w:i/>
          <w:color w:val="4472C4" w:themeColor="accent5"/>
          <w:szCs w:val="20"/>
        </w:rPr>
      </w:pPr>
      <w:r w:rsidRPr="00974CDE">
        <w:rPr>
          <w:rFonts w:eastAsia="Yu Mincho" w:hint="eastAsia"/>
          <w:i/>
          <w:color w:val="4472C4" w:themeColor="accent5"/>
          <w:szCs w:val="20"/>
          <w:lang w:eastAsia="ja-JP"/>
        </w:rPr>
        <w:t>T</w:t>
      </w:r>
      <w:r w:rsidRPr="00974CDE">
        <w:rPr>
          <w:rFonts w:eastAsia="Yu Mincho"/>
          <w:i/>
          <w:color w:val="4472C4" w:themeColor="accent5"/>
          <w:szCs w:val="20"/>
          <w:lang w:eastAsia="ja-JP"/>
        </w:rPr>
        <w:t>his makes no assumption about signaling details</w:t>
      </w:r>
    </w:p>
    <w:p w14:paraId="287A8AB1" w14:textId="77777777" w:rsidR="003B6794" w:rsidRPr="003B6794" w:rsidRDefault="003B6794" w:rsidP="003B6794">
      <w:pPr>
        <w:rPr>
          <w:rFonts w:eastAsia="Yu Mincho"/>
          <w:szCs w:val="20"/>
          <w:lang w:eastAsia="ja-JP"/>
        </w:rPr>
      </w:pPr>
      <w:r w:rsidRPr="003B6794">
        <w:rPr>
          <w:rFonts w:eastAsia="Yu Mincho"/>
          <w:szCs w:val="20"/>
          <w:highlight w:val="green"/>
          <w:lang w:eastAsia="ja-JP"/>
        </w:rPr>
        <w:t>Agreement</w:t>
      </w:r>
    </w:p>
    <w:p w14:paraId="396D84FF" w14:textId="77777777" w:rsidR="00354C53" w:rsidRPr="00974CDE" w:rsidRDefault="00354C53" w:rsidP="00354C53">
      <w:pPr>
        <w:numPr>
          <w:ilvl w:val="0"/>
          <w:numId w:val="30"/>
        </w:numPr>
        <w:spacing w:after="0" w:line="240" w:lineRule="auto"/>
        <w:rPr>
          <w:i/>
          <w:color w:val="4472C4" w:themeColor="accent5"/>
          <w:szCs w:val="20"/>
        </w:rPr>
      </w:pPr>
      <w:r w:rsidRPr="00974CDE">
        <w:rPr>
          <w:i/>
          <w:color w:val="4472C4" w:themeColor="accent5"/>
          <w:szCs w:val="20"/>
        </w:rPr>
        <w:t>For a BL/CE UE configured with flexible starting PDSCH PRB and max 1.4 MHz PDSCH channel bandwidth,</w:t>
      </w:r>
    </w:p>
    <w:p w14:paraId="39940B25" w14:textId="77777777" w:rsidR="00354C53" w:rsidRPr="00974CDE" w:rsidRDefault="00354C53" w:rsidP="00354C53">
      <w:pPr>
        <w:numPr>
          <w:ilvl w:val="1"/>
          <w:numId w:val="30"/>
        </w:numPr>
        <w:spacing w:after="0" w:line="240" w:lineRule="auto"/>
        <w:rPr>
          <w:i/>
          <w:color w:val="4472C4" w:themeColor="accent5"/>
          <w:szCs w:val="20"/>
        </w:rPr>
      </w:pPr>
      <w:r w:rsidRPr="00974CDE">
        <w:rPr>
          <w:i/>
          <w:color w:val="4472C4" w:themeColor="accent5"/>
          <w:szCs w:val="20"/>
        </w:rPr>
        <w:t>PDSCH frequency hopping is supported.</w:t>
      </w:r>
    </w:p>
    <w:p w14:paraId="7F7C627B" w14:textId="77777777" w:rsidR="00354C53" w:rsidRPr="00974CDE" w:rsidRDefault="00354C53" w:rsidP="00354C53">
      <w:pPr>
        <w:numPr>
          <w:ilvl w:val="2"/>
          <w:numId w:val="30"/>
        </w:numPr>
        <w:spacing w:after="0" w:line="240" w:lineRule="auto"/>
        <w:rPr>
          <w:i/>
          <w:color w:val="4472C4" w:themeColor="accent5"/>
          <w:szCs w:val="20"/>
        </w:rPr>
      </w:pPr>
      <w:r w:rsidRPr="00974CDE">
        <w:rPr>
          <w:rFonts w:eastAsia="Yu Mincho" w:hint="eastAsia"/>
          <w:i/>
          <w:color w:val="4472C4" w:themeColor="accent5"/>
          <w:szCs w:val="20"/>
          <w:lang w:eastAsia="ja-JP"/>
        </w:rPr>
        <w:t>D</w:t>
      </w:r>
      <w:r w:rsidRPr="00974CDE">
        <w:rPr>
          <w:rFonts w:eastAsia="Yu Mincho"/>
          <w:i/>
          <w:color w:val="4472C4" w:themeColor="accent5"/>
          <w:szCs w:val="20"/>
          <w:lang w:eastAsia="ja-JP"/>
        </w:rPr>
        <w:t>etails of frequency hopping is FFS</w:t>
      </w:r>
    </w:p>
    <w:p w14:paraId="61DAF2EE" w14:textId="77777777" w:rsidR="00354C53" w:rsidRPr="00974CDE" w:rsidRDefault="00354C53" w:rsidP="00354C53">
      <w:pPr>
        <w:numPr>
          <w:ilvl w:val="0"/>
          <w:numId w:val="30"/>
        </w:numPr>
        <w:spacing w:after="0" w:line="240" w:lineRule="auto"/>
        <w:rPr>
          <w:i/>
          <w:color w:val="4472C4" w:themeColor="accent5"/>
          <w:szCs w:val="20"/>
        </w:rPr>
      </w:pPr>
      <w:r w:rsidRPr="00974CDE">
        <w:rPr>
          <w:i/>
          <w:color w:val="4472C4" w:themeColor="accent5"/>
          <w:szCs w:val="20"/>
        </w:rPr>
        <w:t>For a BL/CE UE configured with flexible starting PUSCH PRB and max 1.4 MHz PUSCH channel bandwidth,</w:t>
      </w:r>
    </w:p>
    <w:p w14:paraId="27A6842E" w14:textId="77777777" w:rsidR="00354C53" w:rsidRPr="00974CDE" w:rsidRDefault="00354C53" w:rsidP="00354C53">
      <w:pPr>
        <w:numPr>
          <w:ilvl w:val="1"/>
          <w:numId w:val="30"/>
        </w:numPr>
        <w:spacing w:after="0" w:line="240" w:lineRule="auto"/>
        <w:rPr>
          <w:i/>
          <w:color w:val="4472C4" w:themeColor="accent5"/>
          <w:szCs w:val="20"/>
        </w:rPr>
      </w:pPr>
      <w:r w:rsidRPr="00974CDE">
        <w:rPr>
          <w:i/>
          <w:color w:val="4472C4" w:themeColor="accent5"/>
          <w:szCs w:val="20"/>
        </w:rPr>
        <w:t>PUSCH frequency hopping is supported.</w:t>
      </w:r>
    </w:p>
    <w:p w14:paraId="3A29ABE2" w14:textId="77777777" w:rsidR="00354C53" w:rsidRPr="00974CDE" w:rsidRDefault="00354C53" w:rsidP="00354C53">
      <w:pPr>
        <w:numPr>
          <w:ilvl w:val="2"/>
          <w:numId w:val="30"/>
        </w:numPr>
        <w:spacing w:after="0" w:line="240" w:lineRule="auto"/>
        <w:rPr>
          <w:i/>
          <w:color w:val="4472C4" w:themeColor="accent5"/>
          <w:szCs w:val="20"/>
        </w:rPr>
      </w:pPr>
      <w:r w:rsidRPr="00974CDE">
        <w:rPr>
          <w:rFonts w:eastAsia="Yu Mincho" w:hint="eastAsia"/>
          <w:i/>
          <w:color w:val="4472C4" w:themeColor="accent5"/>
          <w:szCs w:val="20"/>
          <w:lang w:eastAsia="ja-JP"/>
        </w:rPr>
        <w:t>D</w:t>
      </w:r>
      <w:r w:rsidRPr="00974CDE">
        <w:rPr>
          <w:rFonts w:eastAsia="Yu Mincho"/>
          <w:i/>
          <w:color w:val="4472C4" w:themeColor="accent5"/>
          <w:szCs w:val="20"/>
          <w:lang w:eastAsia="ja-JP"/>
        </w:rPr>
        <w:t>etails of frequency hopping is FFS</w:t>
      </w:r>
    </w:p>
    <w:p w14:paraId="5D09291E" w14:textId="46010171" w:rsidR="00354C53" w:rsidRDefault="00F9483A" w:rsidP="00AF58B9">
      <w:pPr>
        <w:rPr>
          <w:rFonts w:eastAsia="Yu Mincho"/>
          <w:szCs w:val="20"/>
          <w:lang w:eastAsia="ja-JP"/>
        </w:rPr>
      </w:pPr>
      <w:r w:rsidRPr="00F9483A">
        <w:rPr>
          <w:rFonts w:eastAsia="Yu Mincho"/>
          <w:szCs w:val="20"/>
          <w:lang w:eastAsia="ja-JP"/>
        </w:rPr>
        <w:t>At RAN1 #92</w:t>
      </w:r>
      <w:r>
        <w:rPr>
          <w:rFonts w:eastAsia="Yu Mincho"/>
          <w:szCs w:val="20"/>
          <w:lang w:eastAsia="ja-JP"/>
        </w:rPr>
        <w:t>bis</w:t>
      </w:r>
      <w:r w:rsidRPr="00F9483A">
        <w:rPr>
          <w:rFonts w:eastAsia="Yu Mincho"/>
          <w:szCs w:val="20"/>
          <w:lang w:eastAsia="ja-JP"/>
        </w:rPr>
        <w:t xml:space="preserve"> the following agreements were made: </w:t>
      </w:r>
    </w:p>
    <w:p w14:paraId="2FA1249E" w14:textId="77777777" w:rsidR="00974CDE" w:rsidRPr="00F9483A" w:rsidRDefault="00974CDE" w:rsidP="00AF58B9">
      <w:pPr>
        <w:rPr>
          <w:rFonts w:eastAsia="Yu Mincho"/>
          <w:szCs w:val="20"/>
          <w:lang w:eastAsia="ja-JP"/>
        </w:rPr>
      </w:pPr>
    </w:p>
    <w:p w14:paraId="7D3AE125" w14:textId="77777777" w:rsidR="00F9483A" w:rsidRPr="00E97D8F" w:rsidRDefault="00F9483A" w:rsidP="00F9483A">
      <w:pPr>
        <w:rPr>
          <w:rFonts w:eastAsia="Yu Mincho"/>
          <w:szCs w:val="20"/>
          <w:lang w:eastAsia="ja-JP"/>
        </w:rPr>
      </w:pPr>
      <w:r w:rsidRPr="00E97D8F">
        <w:rPr>
          <w:rFonts w:eastAsia="Yu Mincho"/>
          <w:szCs w:val="20"/>
          <w:highlight w:val="green"/>
          <w:lang w:eastAsia="ja-JP"/>
        </w:rPr>
        <w:lastRenderedPageBreak/>
        <w:t>Agreement</w:t>
      </w:r>
    </w:p>
    <w:p w14:paraId="56DC41D3" w14:textId="77777777" w:rsidR="00F9483A" w:rsidRPr="00974CDE" w:rsidRDefault="00F9483A" w:rsidP="00F9483A">
      <w:pPr>
        <w:ind w:left="567"/>
        <w:rPr>
          <w:rFonts w:eastAsia="Yu Mincho"/>
          <w:i/>
          <w:color w:val="4472C4" w:themeColor="accent5"/>
          <w:szCs w:val="20"/>
          <w:lang w:eastAsia="ja-JP"/>
        </w:rPr>
      </w:pPr>
      <w:r w:rsidRPr="00974CDE">
        <w:rPr>
          <w:i/>
          <w:color w:val="4472C4" w:themeColor="accent5"/>
          <w:szCs w:val="20"/>
        </w:rPr>
        <w:t>At least for BL/CE UE configured without other Rel-14/15 features,</w:t>
      </w:r>
      <w:r w:rsidRPr="00974CDE">
        <w:rPr>
          <w:rFonts w:eastAsia="Yu Mincho"/>
          <w:i/>
          <w:color w:val="4472C4" w:themeColor="accent5"/>
          <w:szCs w:val="20"/>
          <w:lang w:eastAsia="ja-JP"/>
        </w:rPr>
        <w:t xml:space="preserve"> DCI size after padding is not increased in order to support flexible starting PRB. </w:t>
      </w:r>
    </w:p>
    <w:p w14:paraId="5AD61F61" w14:textId="77777777" w:rsidR="00F9483A" w:rsidRPr="00974CDE" w:rsidRDefault="00F9483A" w:rsidP="00F9483A">
      <w:pPr>
        <w:ind w:left="567" w:firstLine="567"/>
        <w:rPr>
          <w:i/>
          <w:color w:val="4472C4" w:themeColor="accent5"/>
          <w:szCs w:val="20"/>
        </w:rPr>
      </w:pPr>
      <w:r w:rsidRPr="00974CDE">
        <w:rPr>
          <w:i/>
          <w:color w:val="4472C4" w:themeColor="accent5"/>
          <w:szCs w:val="20"/>
        </w:rPr>
        <w:t>Note: For PUSCH and PDSCH, the solution may or may not be the same</w:t>
      </w:r>
    </w:p>
    <w:p w14:paraId="519F10FC" w14:textId="26014305" w:rsidR="00F9483A" w:rsidRPr="00974CDE" w:rsidRDefault="00F9483A" w:rsidP="00FD638B">
      <w:pPr>
        <w:ind w:left="567" w:firstLine="567"/>
        <w:rPr>
          <w:rFonts w:eastAsia="Yu Mincho"/>
          <w:i/>
          <w:color w:val="4472C4" w:themeColor="accent5"/>
          <w:szCs w:val="20"/>
          <w:lang w:eastAsia="ja-JP"/>
        </w:rPr>
      </w:pPr>
      <w:r w:rsidRPr="00974CDE">
        <w:rPr>
          <w:rFonts w:eastAsia="Yu Mincho" w:hint="eastAsia"/>
          <w:i/>
          <w:color w:val="4472C4" w:themeColor="accent5"/>
          <w:szCs w:val="20"/>
          <w:lang w:eastAsia="ja-JP"/>
        </w:rPr>
        <w:t>N</w:t>
      </w:r>
      <w:r w:rsidRPr="00974CDE">
        <w:rPr>
          <w:rFonts w:eastAsia="Yu Mincho"/>
          <w:i/>
          <w:color w:val="4472C4" w:themeColor="accent5"/>
          <w:szCs w:val="20"/>
          <w:lang w:eastAsia="ja-JP"/>
        </w:rPr>
        <w:t>ote: The solution may or may not be the same for FDD and TDD</w:t>
      </w:r>
    </w:p>
    <w:p w14:paraId="2EF369F3" w14:textId="39C83B7E" w:rsidR="00AF58B9" w:rsidRPr="00030884" w:rsidRDefault="00AF58B9" w:rsidP="00AF58B9">
      <w:r w:rsidRPr="00030884">
        <w:t xml:space="preserve">In this contribution we discuss the </w:t>
      </w:r>
      <w:r w:rsidR="007E5C8E">
        <w:t xml:space="preserve">design of the Resource Allocation (RA) and DCI for the more flexible starting PRB for PUSCH and PDSCH. </w:t>
      </w:r>
    </w:p>
    <w:p w14:paraId="49F42D04" w14:textId="2E691E28" w:rsidR="005F2569" w:rsidRDefault="00191AC0" w:rsidP="00191AC0">
      <w:pPr>
        <w:pStyle w:val="Heading1"/>
      </w:pPr>
      <w:r w:rsidRPr="004300F4">
        <w:t>Discussion</w:t>
      </w:r>
    </w:p>
    <w:p w14:paraId="2C264101" w14:textId="0D9B7520" w:rsidR="00076CA2" w:rsidRPr="00974CDE" w:rsidRDefault="00974CDE" w:rsidP="000653F9">
      <w:pPr>
        <w:rPr>
          <w:lang w:val="en-GB" w:eastAsia="zh-CN"/>
        </w:rPr>
      </w:pPr>
      <w:r>
        <w:rPr>
          <w:lang w:val="en-GB" w:eastAsia="zh-CN"/>
        </w:rPr>
        <w:t xml:space="preserve">A summary of the RAN-91bis contributions are made in </w:t>
      </w:r>
      <w:r w:rsidR="009227B3" w:rsidRPr="00974CDE">
        <w:rPr>
          <w:lang w:val="en-GB" w:eastAsia="zh-CN"/>
        </w:rPr>
        <w:fldChar w:fldCharType="begin"/>
      </w:r>
      <w:r w:rsidR="009227B3" w:rsidRPr="00974CDE">
        <w:rPr>
          <w:lang w:val="en-GB" w:eastAsia="zh-CN"/>
        </w:rPr>
        <w:instrText xml:space="preserve"> REF _Ref513189389 \r \h </w:instrText>
      </w:r>
      <w:r>
        <w:rPr>
          <w:lang w:val="en-GB" w:eastAsia="zh-CN"/>
        </w:rPr>
        <w:instrText xml:space="preserve"> \* MERGEFORMAT </w:instrText>
      </w:r>
      <w:r w:rsidR="009227B3" w:rsidRPr="00974CDE">
        <w:rPr>
          <w:lang w:val="en-GB" w:eastAsia="zh-CN"/>
        </w:rPr>
      </w:r>
      <w:r w:rsidR="009227B3" w:rsidRPr="00974CDE">
        <w:rPr>
          <w:lang w:val="en-GB" w:eastAsia="zh-CN"/>
        </w:rPr>
        <w:fldChar w:fldCharType="separate"/>
      </w:r>
      <w:r w:rsidR="00725BFD">
        <w:rPr>
          <w:lang w:val="en-GB" w:eastAsia="zh-CN"/>
        </w:rPr>
        <w:t>[8]</w:t>
      </w:r>
      <w:r w:rsidR="009227B3" w:rsidRPr="00974CDE">
        <w:rPr>
          <w:lang w:val="en-GB" w:eastAsia="zh-CN"/>
        </w:rPr>
        <w:fldChar w:fldCharType="end"/>
      </w:r>
      <w:r w:rsidR="009227B3" w:rsidRPr="00974CDE">
        <w:rPr>
          <w:lang w:val="en-GB" w:eastAsia="zh-CN"/>
        </w:rPr>
        <w:t xml:space="preserve"> </w:t>
      </w:r>
      <w:r>
        <w:rPr>
          <w:lang w:val="en-GB" w:eastAsia="zh-CN"/>
        </w:rPr>
        <w:t>with the following observations</w:t>
      </w:r>
      <w:r w:rsidR="000F674B" w:rsidRPr="00974CDE">
        <w:rPr>
          <w:lang w:val="en-GB" w:eastAsia="zh-CN"/>
        </w:rPr>
        <w:t>:</w:t>
      </w:r>
    </w:p>
    <w:p w14:paraId="35979F34" w14:textId="77777777" w:rsidR="000F674B" w:rsidRPr="00974CDE" w:rsidRDefault="000F674B" w:rsidP="00974CDE">
      <w:pPr>
        <w:ind w:left="360"/>
        <w:rPr>
          <w:i/>
          <w:color w:val="5B9BD5" w:themeColor="accent1"/>
          <w:lang w:val="en-GB" w:eastAsia="zh-CN"/>
        </w:rPr>
      </w:pPr>
      <w:r w:rsidRPr="00974CDE">
        <w:rPr>
          <w:i/>
          <w:color w:val="5B9BD5" w:themeColor="accent1"/>
          <w:lang w:val="en-GB" w:eastAsia="zh-CN"/>
        </w:rPr>
        <w:t>For PDSCH:</w:t>
      </w:r>
    </w:p>
    <w:p w14:paraId="17B870CE" w14:textId="77777777" w:rsidR="000F674B" w:rsidRPr="00974CDE" w:rsidRDefault="000F674B" w:rsidP="00974CDE">
      <w:pPr>
        <w:pStyle w:val="ListParagraph"/>
        <w:numPr>
          <w:ilvl w:val="0"/>
          <w:numId w:val="34"/>
        </w:numPr>
        <w:ind w:left="1080"/>
        <w:rPr>
          <w:i/>
          <w:color w:val="5B9BD5" w:themeColor="accent1"/>
          <w:lang w:val="en-GB" w:eastAsia="zh-CN"/>
        </w:rPr>
      </w:pPr>
      <w:r w:rsidRPr="00974CDE">
        <w:rPr>
          <w:i/>
          <w:color w:val="5B9BD5" w:themeColor="accent1"/>
          <w:lang w:val="en-GB" w:eastAsia="zh-CN"/>
        </w:rPr>
        <w:t>For CE mode A, Use the unused 11 states in DCI format 6-1A to extend RA.</w:t>
      </w:r>
    </w:p>
    <w:p w14:paraId="125F51BA" w14:textId="4A7B0A00" w:rsidR="000F674B" w:rsidRPr="00974CDE" w:rsidRDefault="000F674B" w:rsidP="00974CDE">
      <w:pPr>
        <w:pStyle w:val="ListParagraph"/>
        <w:numPr>
          <w:ilvl w:val="0"/>
          <w:numId w:val="34"/>
        </w:numPr>
        <w:ind w:left="1080"/>
        <w:rPr>
          <w:i/>
          <w:color w:val="5B9BD5" w:themeColor="accent1"/>
          <w:lang w:val="en-GB" w:eastAsia="zh-CN"/>
        </w:rPr>
      </w:pPr>
      <w:r w:rsidRPr="00974CDE">
        <w:rPr>
          <w:i/>
          <w:color w:val="5B9BD5" w:themeColor="accent1"/>
          <w:lang w:val="en-GB" w:eastAsia="zh-CN"/>
        </w:rPr>
        <w:t>In CE mode B, for PDSCH, introduce 1 bit in RRC to indicate shift of narrow band to align with RBG. The PRB shift definition depends on the system bandwidth and the allocated NB.</w:t>
      </w:r>
    </w:p>
    <w:p w14:paraId="6D3B86DA" w14:textId="2E52BEC4" w:rsidR="000F674B" w:rsidRPr="00974CDE" w:rsidRDefault="000F674B" w:rsidP="00974CDE">
      <w:pPr>
        <w:ind w:left="360"/>
        <w:rPr>
          <w:i/>
          <w:color w:val="5B9BD5" w:themeColor="accent1"/>
          <w:lang w:val="en-GB" w:eastAsia="zh-CN"/>
        </w:rPr>
      </w:pPr>
      <w:r w:rsidRPr="00974CDE">
        <w:rPr>
          <w:i/>
          <w:color w:val="5B9BD5" w:themeColor="accent1"/>
          <w:lang w:val="en-GB" w:eastAsia="zh-CN"/>
        </w:rPr>
        <w:t>For PUSCH:</w:t>
      </w:r>
    </w:p>
    <w:p w14:paraId="376D36CD" w14:textId="494FAEFC" w:rsidR="000F674B" w:rsidRPr="00974CDE" w:rsidRDefault="000F674B" w:rsidP="00974CDE">
      <w:pPr>
        <w:pStyle w:val="ListParagraph"/>
        <w:numPr>
          <w:ilvl w:val="0"/>
          <w:numId w:val="34"/>
        </w:numPr>
        <w:ind w:left="1080"/>
        <w:rPr>
          <w:i/>
          <w:color w:val="5B9BD5" w:themeColor="accent1"/>
          <w:lang w:val="en-GB" w:eastAsia="zh-CN"/>
        </w:rPr>
      </w:pPr>
      <w:r w:rsidRPr="00974CDE">
        <w:rPr>
          <w:i/>
          <w:color w:val="5B9BD5" w:themeColor="accent1"/>
          <w:lang w:val="en-GB" w:eastAsia="zh-CN"/>
        </w:rPr>
        <w:t>No increase of DCI size for PUSCH in CE mode A. FFS: solution #1/#2a/#b/#3 until next meeting.</w:t>
      </w:r>
    </w:p>
    <w:p w14:paraId="023835E2" w14:textId="6A5C4826" w:rsidR="00974CDE" w:rsidRPr="00974CDE" w:rsidRDefault="000F674B" w:rsidP="000F674B">
      <w:pPr>
        <w:pStyle w:val="ListParagraph"/>
        <w:numPr>
          <w:ilvl w:val="0"/>
          <w:numId w:val="34"/>
        </w:numPr>
        <w:ind w:left="1080"/>
        <w:rPr>
          <w:i/>
          <w:color w:val="5B9BD5" w:themeColor="accent1"/>
          <w:lang w:val="en-GB" w:eastAsia="zh-CN"/>
        </w:rPr>
      </w:pPr>
      <w:r w:rsidRPr="00974CDE">
        <w:rPr>
          <w:i/>
          <w:color w:val="5B9BD5" w:themeColor="accent1"/>
          <w:lang w:val="en-GB" w:eastAsia="zh-CN"/>
        </w:rPr>
        <w:t>In CE mode B, for PUSCH introduce 1 bit in RRC to indicate shift of narrow band to align with RBG. The PRB shift definition depends on the system bandwidth and the allocated NB.</w:t>
      </w:r>
    </w:p>
    <w:p w14:paraId="14823D67" w14:textId="5C5A5507" w:rsidR="00974CDE" w:rsidRDefault="00974CDE" w:rsidP="00974CDE">
      <w:pPr>
        <w:rPr>
          <w:lang w:val="en-GB" w:eastAsia="zh-CN"/>
        </w:rPr>
      </w:pPr>
      <w:r>
        <w:rPr>
          <w:lang w:val="en-GB" w:eastAsia="zh-CN"/>
        </w:rPr>
        <w:t xml:space="preserve">A background to the topic is presented in Appendix A in Section </w:t>
      </w:r>
      <w:r>
        <w:rPr>
          <w:lang w:val="en-GB" w:eastAsia="zh-CN"/>
        </w:rPr>
        <w:fldChar w:fldCharType="begin"/>
      </w:r>
      <w:r>
        <w:rPr>
          <w:lang w:val="en-GB" w:eastAsia="zh-CN"/>
        </w:rPr>
        <w:instrText xml:space="preserve"> REF _Ref513193801 \r \h </w:instrText>
      </w:r>
      <w:r>
        <w:rPr>
          <w:lang w:val="en-GB" w:eastAsia="zh-CN"/>
        </w:rPr>
      </w:r>
      <w:r>
        <w:rPr>
          <w:lang w:val="en-GB" w:eastAsia="zh-CN"/>
        </w:rPr>
        <w:fldChar w:fldCharType="separate"/>
      </w:r>
      <w:r w:rsidR="00725BFD">
        <w:rPr>
          <w:lang w:val="en-GB" w:eastAsia="zh-CN"/>
        </w:rPr>
        <w:t>5</w:t>
      </w:r>
      <w:r>
        <w:rPr>
          <w:lang w:val="en-GB" w:eastAsia="zh-CN"/>
        </w:rPr>
        <w:fldChar w:fldCharType="end"/>
      </w:r>
      <w:r>
        <w:rPr>
          <w:lang w:val="en-GB" w:eastAsia="zh-CN"/>
        </w:rPr>
        <w:t xml:space="preserve"> and this subsection discusses the remaining open issues.</w:t>
      </w:r>
      <w:r w:rsidR="00952923">
        <w:rPr>
          <w:lang w:val="en-GB" w:eastAsia="zh-CN"/>
        </w:rPr>
        <w:t xml:space="preserve"> </w:t>
      </w:r>
      <w:r>
        <w:rPr>
          <w:lang w:val="en-GB" w:eastAsia="zh-CN"/>
        </w:rPr>
        <w:t xml:space="preserve">With respect to proposals i) to iii) of </w:t>
      </w:r>
      <w:r w:rsidRPr="00974CDE">
        <w:rPr>
          <w:lang w:val="en-GB" w:eastAsia="zh-CN"/>
        </w:rPr>
        <w:fldChar w:fldCharType="begin"/>
      </w:r>
      <w:r w:rsidRPr="00974CDE">
        <w:rPr>
          <w:lang w:val="en-GB" w:eastAsia="zh-CN"/>
        </w:rPr>
        <w:instrText xml:space="preserve"> REF _Ref513189389 \r \h </w:instrText>
      </w:r>
      <w:r>
        <w:rPr>
          <w:lang w:val="en-GB" w:eastAsia="zh-CN"/>
        </w:rPr>
        <w:instrText xml:space="preserve"> \* MERGEFORMAT </w:instrText>
      </w:r>
      <w:r w:rsidRPr="00974CDE">
        <w:rPr>
          <w:lang w:val="en-GB" w:eastAsia="zh-CN"/>
        </w:rPr>
      </w:r>
      <w:r w:rsidRPr="00974CDE">
        <w:rPr>
          <w:lang w:val="en-GB" w:eastAsia="zh-CN"/>
        </w:rPr>
        <w:fldChar w:fldCharType="separate"/>
      </w:r>
      <w:r w:rsidR="00725BFD">
        <w:rPr>
          <w:lang w:val="en-GB" w:eastAsia="zh-CN"/>
        </w:rPr>
        <w:t>[8]</w:t>
      </w:r>
      <w:r w:rsidRPr="00974CDE">
        <w:rPr>
          <w:lang w:val="en-GB" w:eastAsia="zh-CN"/>
        </w:rPr>
        <w:fldChar w:fldCharType="end"/>
      </w:r>
      <w:r>
        <w:rPr>
          <w:lang w:val="en-GB" w:eastAsia="zh-CN"/>
        </w:rPr>
        <w:t>, the following open issues are identified:</w:t>
      </w:r>
    </w:p>
    <w:p w14:paraId="5F4C74FB" w14:textId="77777777" w:rsidR="00952923" w:rsidRDefault="00974CDE" w:rsidP="00952923">
      <w:pPr>
        <w:pStyle w:val="ListParagraph"/>
        <w:numPr>
          <w:ilvl w:val="0"/>
          <w:numId w:val="37"/>
        </w:numPr>
        <w:rPr>
          <w:lang w:val="en-GB" w:eastAsia="zh-CN"/>
        </w:rPr>
      </w:pPr>
      <w:r w:rsidRPr="00952923">
        <w:rPr>
          <w:lang w:val="en-GB" w:eastAsia="zh-CN"/>
        </w:rPr>
        <w:t>Definition of RIV values 21-31 for CE Mode A PDSCH</w:t>
      </w:r>
    </w:p>
    <w:p w14:paraId="16E2293E" w14:textId="77777777" w:rsidR="00952923" w:rsidRDefault="00974CDE" w:rsidP="00952923">
      <w:pPr>
        <w:pStyle w:val="ListParagraph"/>
        <w:numPr>
          <w:ilvl w:val="0"/>
          <w:numId w:val="37"/>
        </w:numPr>
        <w:rPr>
          <w:lang w:val="en-GB" w:eastAsia="zh-CN"/>
        </w:rPr>
      </w:pPr>
      <w:r w:rsidRPr="00952923">
        <w:rPr>
          <w:lang w:val="en-GB" w:eastAsia="zh-CN"/>
        </w:rPr>
        <w:t>Definition of NB shift for CE mode B and PDSCH (the shift will be dependent on both the system bandwidth and the narrowband within the system bandwidth)</w:t>
      </w:r>
    </w:p>
    <w:p w14:paraId="5E905B3E" w14:textId="739853B1" w:rsidR="00974CDE" w:rsidRPr="00952923" w:rsidRDefault="00974CDE" w:rsidP="00952923">
      <w:pPr>
        <w:pStyle w:val="ListParagraph"/>
        <w:numPr>
          <w:ilvl w:val="0"/>
          <w:numId w:val="37"/>
        </w:numPr>
        <w:rPr>
          <w:lang w:val="en-GB" w:eastAsia="zh-CN"/>
        </w:rPr>
      </w:pPr>
      <w:r w:rsidRPr="00952923">
        <w:rPr>
          <w:lang w:val="en-GB" w:eastAsia="zh-CN"/>
        </w:rPr>
        <w:t xml:space="preserve">Use of 1 extra bit in UL DCI 6-0A for FDD to allow for using PUSCH resource allocation type 2 within the complete system bandwidth </w:t>
      </w:r>
      <w:r w:rsidRPr="00952923">
        <w:rPr>
          <w:i/>
          <w:lang w:val="en-GB" w:eastAsia="zh-CN"/>
        </w:rPr>
        <w:t>or</w:t>
      </w:r>
      <w:r w:rsidRPr="00952923">
        <w:rPr>
          <w:lang w:val="en-GB" w:eastAsia="zh-CN"/>
        </w:rPr>
        <w:t xml:space="preserve"> using the RIV values 21-31 for a partial flexibility (</w:t>
      </w:r>
      <w:r w:rsidR="00C95C0D">
        <w:rPr>
          <w:lang w:val="en-GB" w:eastAsia="zh-CN"/>
        </w:rPr>
        <w:t xml:space="preserve">a </w:t>
      </w:r>
      <w:r w:rsidRPr="00952923">
        <w:rPr>
          <w:lang w:val="en-GB" w:eastAsia="zh-CN"/>
        </w:rPr>
        <w:t>definition of the values is needed and the conflict with 5MHz UE BW needs to be</w:t>
      </w:r>
      <w:r w:rsidR="00050C7F">
        <w:rPr>
          <w:lang w:val="en-GB" w:eastAsia="zh-CN"/>
        </w:rPr>
        <w:t xml:space="preserve"> resolved</w:t>
      </w:r>
      <w:r w:rsidRPr="00952923">
        <w:rPr>
          <w:lang w:val="en-GB" w:eastAsia="zh-CN"/>
        </w:rPr>
        <w:t>)</w:t>
      </w:r>
      <w:r w:rsidR="00952923">
        <w:rPr>
          <w:lang w:val="en-GB" w:eastAsia="zh-CN"/>
        </w:rPr>
        <w:t xml:space="preserve">. </w:t>
      </w:r>
    </w:p>
    <w:p w14:paraId="6EFE8BAA" w14:textId="2163A4F6" w:rsidR="00974CDE" w:rsidRDefault="00952923" w:rsidP="00974CDE">
      <w:pPr>
        <w:rPr>
          <w:lang w:val="en-GB" w:eastAsia="zh-CN"/>
        </w:rPr>
      </w:pPr>
      <w:r>
        <w:rPr>
          <w:lang w:val="en-GB" w:eastAsia="zh-CN"/>
        </w:rPr>
        <w:t xml:space="preserve">With respect to proposal iv) of </w:t>
      </w:r>
      <w:r w:rsidRPr="00974CDE">
        <w:rPr>
          <w:lang w:val="en-GB" w:eastAsia="zh-CN"/>
        </w:rPr>
        <w:fldChar w:fldCharType="begin"/>
      </w:r>
      <w:r w:rsidRPr="00974CDE">
        <w:rPr>
          <w:lang w:val="en-GB" w:eastAsia="zh-CN"/>
        </w:rPr>
        <w:instrText xml:space="preserve"> REF _Ref513189389 \r \h </w:instrText>
      </w:r>
      <w:r>
        <w:rPr>
          <w:lang w:val="en-GB" w:eastAsia="zh-CN"/>
        </w:rPr>
        <w:instrText xml:space="preserve"> \* MERGEFORMAT </w:instrText>
      </w:r>
      <w:r w:rsidRPr="00974CDE">
        <w:rPr>
          <w:lang w:val="en-GB" w:eastAsia="zh-CN"/>
        </w:rPr>
      </w:r>
      <w:r w:rsidRPr="00974CDE">
        <w:rPr>
          <w:lang w:val="en-GB" w:eastAsia="zh-CN"/>
        </w:rPr>
        <w:fldChar w:fldCharType="separate"/>
      </w:r>
      <w:r w:rsidR="00725BFD">
        <w:rPr>
          <w:lang w:val="en-GB" w:eastAsia="zh-CN"/>
        </w:rPr>
        <w:t>[8]</w:t>
      </w:r>
      <w:r w:rsidRPr="00974CDE">
        <w:rPr>
          <w:lang w:val="en-GB" w:eastAsia="zh-CN"/>
        </w:rPr>
        <w:fldChar w:fldCharType="end"/>
      </w:r>
      <w:r>
        <w:rPr>
          <w:lang w:val="en-GB" w:eastAsia="zh-CN"/>
        </w:rPr>
        <w:t>, it is considered that 2 bit RRC signalling may be used to obtain the possibility of configuring UEs for full flexibility of th</w:t>
      </w:r>
      <w:r w:rsidR="00050C7F">
        <w:rPr>
          <w:lang w:val="en-GB" w:eastAsia="zh-CN"/>
        </w:rPr>
        <w:t>e</w:t>
      </w:r>
      <w:r>
        <w:rPr>
          <w:lang w:val="en-GB" w:eastAsia="zh-CN"/>
        </w:rPr>
        <w:t xml:space="preserve"> CE mode B PUSCH resource allocations. </w:t>
      </w:r>
    </w:p>
    <w:p w14:paraId="512D3D99" w14:textId="3733342C" w:rsidR="00952923" w:rsidRDefault="00952923" w:rsidP="00974CDE">
      <w:pPr>
        <w:rPr>
          <w:lang w:val="en-GB" w:eastAsia="zh-CN"/>
        </w:rPr>
      </w:pPr>
      <w:r>
        <w:rPr>
          <w:lang w:val="en-GB" w:eastAsia="zh-CN"/>
        </w:rPr>
        <w:t xml:space="preserve">Finally, the impact of frequency hopping needs to be considered. </w:t>
      </w:r>
    </w:p>
    <w:p w14:paraId="1119399B" w14:textId="65596CFB" w:rsidR="00132A3A" w:rsidRPr="000653F9" w:rsidRDefault="00044B11" w:rsidP="00A62256">
      <w:pPr>
        <w:pStyle w:val="Heading2"/>
      </w:pPr>
      <w:r>
        <w:t xml:space="preserve">PDSCH </w:t>
      </w:r>
      <w:r w:rsidR="00A62256">
        <w:t>Resource allocation</w:t>
      </w:r>
    </w:p>
    <w:p w14:paraId="46DC52BC" w14:textId="1BA4407A" w:rsidR="002850BB" w:rsidRDefault="00294739" w:rsidP="002850BB">
      <w:pPr>
        <w:pStyle w:val="Heading3"/>
      </w:pPr>
      <w:r>
        <w:t xml:space="preserve">PDSCH for </w:t>
      </w:r>
      <w:r w:rsidR="002850BB">
        <w:t xml:space="preserve">CE mode A and </w:t>
      </w:r>
      <w:r w:rsidR="004B6ADD">
        <w:t>1.4 MHz</w:t>
      </w:r>
      <w:r w:rsidR="002850BB">
        <w:t xml:space="preserve"> BL/CE UE</w:t>
      </w:r>
    </w:p>
    <w:p w14:paraId="11D99D3B" w14:textId="2357F65E" w:rsidR="000D336C" w:rsidRDefault="000653F9" w:rsidP="00E25DE7">
      <w:pPr>
        <w:rPr>
          <w:lang w:val="en-GB" w:eastAsia="zh-CN"/>
        </w:rPr>
      </w:pPr>
      <w:r w:rsidRPr="000653F9">
        <w:rPr>
          <w:lang w:val="en-GB" w:eastAsia="zh-CN"/>
        </w:rPr>
        <w:t xml:space="preserve">It is observed </w:t>
      </w:r>
      <w:r>
        <w:rPr>
          <w:lang w:val="en-GB" w:eastAsia="zh-CN"/>
        </w:rPr>
        <w:t xml:space="preserve">(see </w:t>
      </w:r>
      <w:r>
        <w:rPr>
          <w:lang w:val="en-GB" w:eastAsia="zh-CN"/>
        </w:rPr>
        <w:fldChar w:fldCharType="begin"/>
      </w:r>
      <w:r>
        <w:rPr>
          <w:lang w:val="en-GB" w:eastAsia="zh-CN"/>
        </w:rPr>
        <w:instrText xml:space="preserve"> REF _Ref510601055 \r \h </w:instrText>
      </w:r>
      <w:r>
        <w:rPr>
          <w:lang w:val="en-GB" w:eastAsia="zh-CN"/>
        </w:rPr>
      </w:r>
      <w:r>
        <w:rPr>
          <w:lang w:val="en-GB" w:eastAsia="zh-CN"/>
        </w:rPr>
        <w:fldChar w:fldCharType="separate"/>
      </w:r>
      <w:r w:rsidR="00725BFD">
        <w:rPr>
          <w:lang w:val="en-GB" w:eastAsia="zh-CN"/>
        </w:rPr>
        <w:t>Observation 7</w:t>
      </w:r>
      <w:r>
        <w:rPr>
          <w:lang w:val="en-GB" w:eastAsia="zh-CN"/>
        </w:rPr>
        <w:fldChar w:fldCharType="end"/>
      </w:r>
      <w:r>
        <w:rPr>
          <w:lang w:val="en-GB" w:eastAsia="zh-CN"/>
        </w:rPr>
        <w:t xml:space="preserve"> - </w:t>
      </w:r>
      <w:r>
        <w:rPr>
          <w:lang w:val="en-GB" w:eastAsia="zh-CN"/>
        </w:rPr>
        <w:fldChar w:fldCharType="begin"/>
      </w:r>
      <w:r>
        <w:rPr>
          <w:lang w:val="en-GB" w:eastAsia="zh-CN"/>
        </w:rPr>
        <w:instrText xml:space="preserve"> REF _Ref510601072 \r \h </w:instrText>
      </w:r>
      <w:r>
        <w:rPr>
          <w:lang w:val="en-GB" w:eastAsia="zh-CN"/>
        </w:rPr>
      </w:r>
      <w:r>
        <w:rPr>
          <w:lang w:val="en-GB" w:eastAsia="zh-CN"/>
        </w:rPr>
        <w:fldChar w:fldCharType="separate"/>
      </w:r>
      <w:r w:rsidR="00725BFD">
        <w:rPr>
          <w:lang w:val="en-GB" w:eastAsia="zh-CN"/>
        </w:rPr>
        <w:t>Observation 10</w:t>
      </w:r>
      <w:r>
        <w:rPr>
          <w:lang w:val="en-GB" w:eastAsia="zh-CN"/>
        </w:rPr>
        <w:fldChar w:fldCharType="end"/>
      </w:r>
      <w:r>
        <w:rPr>
          <w:lang w:val="en-GB" w:eastAsia="zh-CN"/>
        </w:rPr>
        <w:t xml:space="preserve">) </w:t>
      </w:r>
      <w:r w:rsidRPr="000653F9">
        <w:rPr>
          <w:lang w:val="en-GB" w:eastAsia="zh-CN"/>
        </w:rPr>
        <w:t xml:space="preserve">that the DCI </w:t>
      </w:r>
      <w:r>
        <w:rPr>
          <w:lang w:val="en-GB" w:eastAsia="zh-CN"/>
        </w:rPr>
        <w:t>format 6-1A for FDD is larger than DCI format 6-0A.</w:t>
      </w:r>
      <w:r w:rsidR="003B21FC">
        <w:rPr>
          <w:lang w:val="en-GB" w:eastAsia="zh-CN"/>
        </w:rPr>
        <w:t xml:space="preserve"> </w:t>
      </w:r>
      <w:r w:rsidR="000D336C">
        <w:rPr>
          <w:lang w:val="en-GB" w:eastAsia="zh-CN"/>
        </w:rPr>
        <w:t xml:space="preserve">Thus, for PDSCH allocation it is desirable to keep the size of the DCI format 6-1A. </w:t>
      </w:r>
    </w:p>
    <w:p w14:paraId="644253AC" w14:textId="407D9D85" w:rsidR="003D2167" w:rsidRDefault="000D336C" w:rsidP="00E25DE7">
      <w:pPr>
        <w:rPr>
          <w:lang w:val="en-GB" w:eastAsia="zh-CN"/>
        </w:rPr>
      </w:pPr>
      <w:r>
        <w:rPr>
          <w:lang w:val="en-GB" w:eastAsia="zh-CN"/>
        </w:rPr>
        <w:t xml:space="preserve">As outlined in Section </w:t>
      </w:r>
      <w:r>
        <w:rPr>
          <w:lang w:val="en-GB" w:eastAsia="zh-CN"/>
        </w:rPr>
        <w:fldChar w:fldCharType="begin"/>
      </w:r>
      <w:r>
        <w:rPr>
          <w:lang w:val="en-GB" w:eastAsia="zh-CN"/>
        </w:rPr>
        <w:instrText xml:space="preserve"> REF _Ref510638352 \r \h </w:instrText>
      </w:r>
      <w:r>
        <w:rPr>
          <w:lang w:val="en-GB" w:eastAsia="zh-CN"/>
        </w:rPr>
      </w:r>
      <w:r>
        <w:rPr>
          <w:lang w:val="en-GB" w:eastAsia="zh-CN"/>
        </w:rPr>
        <w:fldChar w:fldCharType="separate"/>
      </w:r>
      <w:r w:rsidR="00725BFD">
        <w:rPr>
          <w:lang w:val="en-GB" w:eastAsia="zh-CN"/>
        </w:rPr>
        <w:t>5.3.2</w:t>
      </w:r>
      <w:r>
        <w:rPr>
          <w:lang w:val="en-GB" w:eastAsia="zh-CN"/>
        </w:rPr>
        <w:fldChar w:fldCharType="end"/>
      </w:r>
      <w:r>
        <w:rPr>
          <w:lang w:val="en-GB" w:eastAsia="zh-CN"/>
        </w:rPr>
        <w:t xml:space="preserve">, the RIV values 21-31 may be used to extend the number of starting PRBs for the allocation, and an example of the usage of these 11 RIV values is shown in </w:t>
      </w:r>
      <w:r>
        <w:rPr>
          <w:lang w:val="en-GB" w:eastAsia="zh-CN"/>
        </w:rPr>
        <w:fldChar w:fldCharType="begin"/>
      </w:r>
      <w:r>
        <w:rPr>
          <w:lang w:val="en-GB" w:eastAsia="zh-CN"/>
        </w:rPr>
        <w:instrText xml:space="preserve"> REF _Ref510638416 \h </w:instrText>
      </w:r>
      <w:r>
        <w:rPr>
          <w:lang w:val="en-GB" w:eastAsia="zh-CN"/>
        </w:rPr>
      </w:r>
      <w:r>
        <w:rPr>
          <w:lang w:val="en-GB" w:eastAsia="zh-CN"/>
        </w:rPr>
        <w:fldChar w:fldCharType="separate"/>
      </w:r>
      <w:r w:rsidR="00725BFD">
        <w:t xml:space="preserve">Figure </w:t>
      </w:r>
      <w:r w:rsidR="00725BFD">
        <w:rPr>
          <w:noProof/>
        </w:rPr>
        <w:t>1</w:t>
      </w:r>
      <w:r>
        <w:rPr>
          <w:lang w:val="en-GB" w:eastAsia="zh-CN"/>
        </w:rPr>
        <w:fldChar w:fldCharType="end"/>
      </w:r>
      <w:r w:rsidR="006D5D6A">
        <w:rPr>
          <w:lang w:val="en-GB" w:eastAsia="zh-CN"/>
        </w:rPr>
        <w:t xml:space="preserve"> and detailed in </w:t>
      </w:r>
      <w:r w:rsidR="006D5D6A">
        <w:rPr>
          <w:lang w:val="en-GB" w:eastAsia="zh-CN"/>
        </w:rPr>
        <w:fldChar w:fldCharType="begin"/>
      </w:r>
      <w:r w:rsidR="006D5D6A">
        <w:rPr>
          <w:lang w:val="en-GB" w:eastAsia="zh-CN"/>
        </w:rPr>
        <w:instrText xml:space="preserve"> REF _Ref510704965 \h </w:instrText>
      </w:r>
      <w:r w:rsidR="006D5D6A">
        <w:rPr>
          <w:lang w:val="en-GB" w:eastAsia="zh-CN"/>
        </w:rPr>
      </w:r>
      <w:r w:rsidR="006D5D6A">
        <w:rPr>
          <w:lang w:val="en-GB" w:eastAsia="zh-CN"/>
        </w:rPr>
        <w:fldChar w:fldCharType="separate"/>
      </w:r>
      <w:r w:rsidR="00725BFD">
        <w:t xml:space="preserve">Table </w:t>
      </w:r>
      <w:r w:rsidR="00725BFD">
        <w:rPr>
          <w:noProof/>
        </w:rPr>
        <w:t>1</w:t>
      </w:r>
      <w:r w:rsidR="006D5D6A">
        <w:rPr>
          <w:lang w:val="en-GB" w:eastAsia="zh-CN"/>
        </w:rPr>
        <w:fldChar w:fldCharType="end"/>
      </w:r>
      <w:r>
        <w:rPr>
          <w:lang w:val="en-GB" w:eastAsia="zh-CN"/>
        </w:rPr>
        <w:t>.</w:t>
      </w:r>
      <w:r w:rsidR="003D2167">
        <w:rPr>
          <w:lang w:val="en-GB" w:eastAsia="zh-CN"/>
        </w:rPr>
        <w:t xml:space="preserve"> </w:t>
      </w:r>
    </w:p>
    <w:p w14:paraId="5BD4C7C7" w14:textId="76449CC1" w:rsidR="000653F9" w:rsidRDefault="000D336C" w:rsidP="00E25DE7">
      <w:pPr>
        <w:rPr>
          <w:lang w:val="en-GB" w:eastAsia="zh-CN"/>
        </w:rPr>
      </w:pPr>
      <w:r>
        <w:rPr>
          <w:lang w:val="en-GB" w:eastAsia="zh-CN"/>
        </w:rPr>
        <w:lastRenderedPageBreak/>
        <w:t>In this example, all resource allocation</w:t>
      </w:r>
      <w:r w:rsidR="001C6008">
        <w:rPr>
          <w:lang w:val="en-GB" w:eastAsia="zh-CN"/>
        </w:rPr>
        <w:t>s</w:t>
      </w:r>
      <w:r>
        <w:rPr>
          <w:lang w:val="en-GB" w:eastAsia="zh-CN"/>
        </w:rPr>
        <w:t xml:space="preserve"> except 5 PRBs can be allocated with all PRBs within the system bandwidth as the starting position of the resource allocation.</w:t>
      </w:r>
      <w:r w:rsidR="003D2167">
        <w:rPr>
          <w:lang w:val="en-GB" w:eastAsia="zh-CN"/>
        </w:rPr>
        <w:t xml:space="preserve"> </w:t>
      </w:r>
      <w:r>
        <w:rPr>
          <w:lang w:val="en-GB" w:eastAsia="zh-CN"/>
        </w:rPr>
        <w:t>Although this choice of resource allocation allows for packing several BL/CE UEs “back-to-back”</w:t>
      </w:r>
      <w:r w:rsidR="006F4D9F">
        <w:rPr>
          <w:lang w:val="en-GB" w:eastAsia="zh-CN"/>
        </w:rPr>
        <w:t xml:space="preserve"> with a large degree of flexibility</w:t>
      </w:r>
      <w:r>
        <w:rPr>
          <w:lang w:val="en-GB" w:eastAsia="zh-CN"/>
        </w:rPr>
        <w:t xml:space="preserve">, it </w:t>
      </w:r>
      <w:r w:rsidR="001735D9">
        <w:rPr>
          <w:lang w:val="en-GB" w:eastAsia="zh-CN"/>
        </w:rPr>
        <w:t xml:space="preserve">suffers from </w:t>
      </w:r>
      <w:r>
        <w:rPr>
          <w:lang w:val="en-GB" w:eastAsia="zh-CN"/>
        </w:rPr>
        <w:t xml:space="preserve">that the allocation of 5 PRBs are </w:t>
      </w:r>
      <w:r w:rsidR="001735D9">
        <w:rPr>
          <w:lang w:val="en-GB" w:eastAsia="zh-CN"/>
        </w:rPr>
        <w:t xml:space="preserve">still </w:t>
      </w:r>
      <w:r>
        <w:rPr>
          <w:lang w:val="en-GB" w:eastAsia="zh-CN"/>
        </w:rPr>
        <w:t xml:space="preserve">restricted to two starting PRBs within each narrowband. </w:t>
      </w:r>
    </w:p>
    <w:p w14:paraId="75756FCA" w14:textId="3E6B96CE" w:rsidR="000653F9" w:rsidRDefault="008B1A25" w:rsidP="000D336C">
      <w:pPr>
        <w:keepNext/>
        <w:jc w:val="center"/>
      </w:pPr>
      <w:r>
        <w:rPr>
          <w:noProof/>
          <w:lang w:eastAsia="zh-CN"/>
        </w:rPr>
        <w:drawing>
          <wp:inline distT="0" distB="0" distL="0" distR="0" wp14:anchorId="28254933" wp14:editId="55627D3E">
            <wp:extent cx="4524375" cy="5172075"/>
            <wp:effectExtent l="0" t="0" r="9525" b="9525"/>
            <wp:docPr id="12" name="Picture 12" descr="C:\Users\erauae\Desktop\Studies\STAR\Flexible starting PRB\UnusedRIV-valu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C:\Users\erauae\Desktop\Studies\STAR\Flexible starting PRB\UnusedRIV-values.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24375" cy="5172075"/>
                    </a:xfrm>
                    <a:prstGeom prst="rect">
                      <a:avLst/>
                    </a:prstGeom>
                    <a:noFill/>
                    <a:ln>
                      <a:noFill/>
                    </a:ln>
                  </pic:spPr>
                </pic:pic>
              </a:graphicData>
            </a:graphic>
          </wp:inline>
        </w:drawing>
      </w:r>
    </w:p>
    <w:p w14:paraId="579DBCD0" w14:textId="2FCDDC48" w:rsidR="001B383E" w:rsidRDefault="000653F9" w:rsidP="00126F2C">
      <w:pPr>
        <w:pStyle w:val="Caption"/>
      </w:pPr>
      <w:bookmarkStart w:id="1" w:name="_Ref510638416"/>
      <w:r>
        <w:t xml:space="preserve">Figure </w:t>
      </w:r>
      <w:r w:rsidR="0092669D">
        <w:fldChar w:fldCharType="begin"/>
      </w:r>
      <w:r w:rsidR="0092669D">
        <w:instrText xml:space="preserve"> SEQ Figure \* ARABIC </w:instrText>
      </w:r>
      <w:r w:rsidR="0092669D">
        <w:fldChar w:fldCharType="separate"/>
      </w:r>
      <w:r w:rsidR="00725BFD">
        <w:rPr>
          <w:noProof/>
        </w:rPr>
        <w:t>1</w:t>
      </w:r>
      <w:r w:rsidR="0092669D">
        <w:rPr>
          <w:noProof/>
        </w:rPr>
        <w:fldChar w:fldCharType="end"/>
      </w:r>
      <w:bookmarkEnd w:id="1"/>
      <w:r>
        <w:t>:</w:t>
      </w:r>
      <w:r w:rsidR="003B6365">
        <w:t xml:space="preserve"> Usage of RIV values 21-31 to allow for a more flexible starting PRB of the PDSCH allocation.</w:t>
      </w:r>
      <w:r w:rsidR="002D3D0B">
        <w:t xml:space="preserve"> </w:t>
      </w:r>
    </w:p>
    <w:p w14:paraId="0C1E6E2C" w14:textId="730E0A12" w:rsidR="00571722" w:rsidRDefault="00571722" w:rsidP="00571722">
      <w:pPr>
        <w:pStyle w:val="Caption"/>
        <w:keepNext/>
      </w:pPr>
      <w:bookmarkStart w:id="2" w:name="_Ref510704965"/>
      <w:r>
        <w:lastRenderedPageBreak/>
        <w:t xml:space="preserve">Table </w:t>
      </w:r>
      <w:r w:rsidR="0092669D">
        <w:fldChar w:fldCharType="begin"/>
      </w:r>
      <w:r w:rsidR="0092669D">
        <w:instrText xml:space="preserve"> SEQ Table \* ARABIC </w:instrText>
      </w:r>
      <w:r w:rsidR="0092669D">
        <w:fldChar w:fldCharType="separate"/>
      </w:r>
      <w:r w:rsidR="00725BFD">
        <w:rPr>
          <w:noProof/>
        </w:rPr>
        <w:t>1</w:t>
      </w:r>
      <w:r w:rsidR="0092669D">
        <w:rPr>
          <w:noProof/>
        </w:rPr>
        <w:fldChar w:fldCharType="end"/>
      </w:r>
      <w:bookmarkEnd w:id="2"/>
      <w:r>
        <w:t>: Usage of RIV values 21-31.</w:t>
      </w:r>
    </w:p>
    <w:tbl>
      <w:tblPr>
        <w:tblW w:w="4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275"/>
        <w:gridCol w:w="1560"/>
      </w:tblGrid>
      <w:tr w:rsidR="003136E2" w:rsidRPr="001F56A6" w14:paraId="7C54CDCA" w14:textId="77777777" w:rsidTr="007B39E9">
        <w:trPr>
          <w:cantSplit/>
          <w:trHeight w:val="510"/>
          <w:jc w:val="center"/>
        </w:trPr>
        <w:tc>
          <w:tcPr>
            <w:tcW w:w="1701" w:type="dxa"/>
            <w:tcBorders>
              <w:top w:val="double" w:sz="4" w:space="0" w:color="auto"/>
              <w:left w:val="double" w:sz="4" w:space="0" w:color="auto"/>
              <w:right w:val="double" w:sz="4" w:space="0" w:color="auto"/>
            </w:tcBorders>
            <w:shd w:val="clear" w:color="auto" w:fill="E0E0E0"/>
            <w:vAlign w:val="center"/>
          </w:tcPr>
          <w:p w14:paraId="660866CF" w14:textId="50847919" w:rsidR="003136E2" w:rsidRPr="00030884" w:rsidRDefault="003136E2" w:rsidP="002364E1">
            <w:pPr>
              <w:pStyle w:val="TAH"/>
              <w:rPr>
                <w:bCs/>
              </w:rPr>
            </w:pPr>
            <w:r>
              <w:rPr>
                <w:bCs/>
              </w:rPr>
              <w:t>RIV</w:t>
            </w:r>
          </w:p>
        </w:tc>
        <w:tc>
          <w:tcPr>
            <w:tcW w:w="1275" w:type="dxa"/>
            <w:tcBorders>
              <w:top w:val="double" w:sz="4" w:space="0" w:color="auto"/>
              <w:right w:val="double" w:sz="4" w:space="0" w:color="auto"/>
            </w:tcBorders>
            <w:shd w:val="clear" w:color="auto" w:fill="E0E0E0"/>
            <w:vAlign w:val="center"/>
          </w:tcPr>
          <w:p w14:paraId="6B5CF953" w14:textId="6AEBFBE0" w:rsidR="003136E2" w:rsidRPr="00030884" w:rsidRDefault="003136E2" w:rsidP="002364E1">
            <w:pPr>
              <w:pStyle w:val="TAH"/>
              <w:rPr>
                <w:bCs/>
              </w:rPr>
            </w:pPr>
            <w:r>
              <w:rPr>
                <w:color w:val="000000"/>
                <w:szCs w:val="18"/>
              </w:rPr>
              <w:t>N</w:t>
            </w:r>
            <w:r w:rsidRPr="00030884">
              <w:rPr>
                <w:color w:val="000000"/>
                <w:szCs w:val="18"/>
              </w:rPr>
              <w:t>umber of PRBs</w:t>
            </w:r>
          </w:p>
        </w:tc>
        <w:tc>
          <w:tcPr>
            <w:tcW w:w="1560" w:type="dxa"/>
            <w:tcBorders>
              <w:top w:val="double" w:sz="4" w:space="0" w:color="auto"/>
              <w:left w:val="double" w:sz="4" w:space="0" w:color="auto"/>
              <w:right w:val="double" w:sz="4" w:space="0" w:color="auto"/>
            </w:tcBorders>
            <w:shd w:val="clear" w:color="auto" w:fill="E0E0E0"/>
            <w:vAlign w:val="center"/>
          </w:tcPr>
          <w:p w14:paraId="7849019F" w14:textId="0A81EFC7" w:rsidR="003136E2" w:rsidRPr="00030884" w:rsidRDefault="003136E2" w:rsidP="003136E2">
            <w:pPr>
              <w:pStyle w:val="TAH"/>
              <w:rPr>
                <w:bCs/>
              </w:rPr>
            </w:pPr>
            <w:r>
              <w:rPr>
                <w:bCs/>
              </w:rPr>
              <w:t>Start PRB</w:t>
            </w:r>
          </w:p>
        </w:tc>
      </w:tr>
      <w:tr w:rsidR="003136E2" w:rsidRPr="00030884" w14:paraId="1C30FDCF" w14:textId="77777777" w:rsidTr="007B39E9">
        <w:trPr>
          <w:cantSplit/>
          <w:jc w:val="center"/>
        </w:trPr>
        <w:tc>
          <w:tcPr>
            <w:tcW w:w="1701" w:type="dxa"/>
            <w:tcBorders>
              <w:left w:val="double" w:sz="4" w:space="0" w:color="auto"/>
              <w:right w:val="double" w:sz="4" w:space="0" w:color="auto"/>
            </w:tcBorders>
            <w:shd w:val="clear" w:color="auto" w:fill="auto"/>
            <w:vAlign w:val="center"/>
          </w:tcPr>
          <w:p w14:paraId="5C67A64F" w14:textId="40B8CA57" w:rsidR="003136E2" w:rsidRPr="00030884" w:rsidRDefault="003136E2" w:rsidP="001B383E">
            <w:pPr>
              <w:pStyle w:val="TAC"/>
            </w:pPr>
            <w:r>
              <w:t>21</w:t>
            </w:r>
          </w:p>
        </w:tc>
        <w:tc>
          <w:tcPr>
            <w:tcW w:w="1275" w:type="dxa"/>
            <w:vAlign w:val="center"/>
          </w:tcPr>
          <w:p w14:paraId="0F63FC25" w14:textId="433A7BB2" w:rsidR="003136E2" w:rsidRPr="00030884" w:rsidRDefault="003136E2" w:rsidP="001B383E">
            <w:pPr>
              <w:pStyle w:val="TAC"/>
            </w:pPr>
            <w:r>
              <w:rPr>
                <w:color w:val="000000"/>
                <w:szCs w:val="18"/>
              </w:rPr>
              <w:t>2</w:t>
            </w:r>
          </w:p>
        </w:tc>
        <w:tc>
          <w:tcPr>
            <w:tcW w:w="1560" w:type="dxa"/>
            <w:tcBorders>
              <w:top w:val="double" w:sz="4" w:space="0" w:color="auto"/>
              <w:left w:val="double" w:sz="4" w:space="0" w:color="auto"/>
              <w:right w:val="double" w:sz="4" w:space="0" w:color="auto"/>
            </w:tcBorders>
          </w:tcPr>
          <w:p w14:paraId="09CCC9F2" w14:textId="3CE3BEA9" w:rsidR="003136E2" w:rsidRPr="00DB6466" w:rsidRDefault="00D87706" w:rsidP="001B383E">
            <w:pPr>
              <w:pStyle w:val="TAC"/>
            </w:pPr>
            <w:r>
              <w:t>5</w:t>
            </w:r>
          </w:p>
        </w:tc>
      </w:tr>
      <w:tr w:rsidR="003136E2" w:rsidRPr="00030884" w14:paraId="230F8FAF" w14:textId="77777777" w:rsidTr="007B39E9">
        <w:trPr>
          <w:cantSplit/>
          <w:jc w:val="center"/>
        </w:trPr>
        <w:tc>
          <w:tcPr>
            <w:tcW w:w="1701" w:type="dxa"/>
            <w:tcBorders>
              <w:left w:val="double" w:sz="4" w:space="0" w:color="auto"/>
              <w:right w:val="double" w:sz="4" w:space="0" w:color="auto"/>
            </w:tcBorders>
            <w:shd w:val="clear" w:color="auto" w:fill="auto"/>
            <w:vAlign w:val="center"/>
          </w:tcPr>
          <w:p w14:paraId="1E85B78E" w14:textId="399D9585" w:rsidR="003136E2" w:rsidRPr="00030884" w:rsidRDefault="003136E2" w:rsidP="001B383E">
            <w:pPr>
              <w:pStyle w:val="TAC"/>
            </w:pPr>
            <w:r>
              <w:t>22</w:t>
            </w:r>
          </w:p>
        </w:tc>
        <w:tc>
          <w:tcPr>
            <w:tcW w:w="1275" w:type="dxa"/>
            <w:vAlign w:val="center"/>
          </w:tcPr>
          <w:p w14:paraId="0ADF95C3" w14:textId="40655A39" w:rsidR="003136E2" w:rsidRPr="00030884" w:rsidRDefault="003136E2" w:rsidP="001B383E">
            <w:pPr>
              <w:pStyle w:val="TAC"/>
            </w:pPr>
            <w:r>
              <w:t>3</w:t>
            </w:r>
          </w:p>
        </w:tc>
        <w:tc>
          <w:tcPr>
            <w:tcW w:w="1560" w:type="dxa"/>
            <w:tcBorders>
              <w:left w:val="double" w:sz="4" w:space="0" w:color="auto"/>
              <w:right w:val="double" w:sz="4" w:space="0" w:color="auto"/>
            </w:tcBorders>
          </w:tcPr>
          <w:p w14:paraId="3E80FEC8" w14:textId="1AFAC031" w:rsidR="003136E2" w:rsidRPr="00DB6466" w:rsidRDefault="00D87706" w:rsidP="001B383E">
            <w:pPr>
              <w:pStyle w:val="TAC"/>
            </w:pPr>
            <w:r>
              <w:t>4</w:t>
            </w:r>
          </w:p>
        </w:tc>
      </w:tr>
      <w:tr w:rsidR="003136E2" w:rsidRPr="00030884" w14:paraId="13E4F036" w14:textId="77777777" w:rsidTr="007B39E9">
        <w:trPr>
          <w:cantSplit/>
          <w:jc w:val="center"/>
        </w:trPr>
        <w:tc>
          <w:tcPr>
            <w:tcW w:w="1701" w:type="dxa"/>
            <w:tcBorders>
              <w:left w:val="double" w:sz="4" w:space="0" w:color="auto"/>
              <w:right w:val="double" w:sz="4" w:space="0" w:color="auto"/>
            </w:tcBorders>
            <w:shd w:val="clear" w:color="auto" w:fill="auto"/>
            <w:vAlign w:val="center"/>
          </w:tcPr>
          <w:p w14:paraId="2707FEEC" w14:textId="16777784" w:rsidR="003136E2" w:rsidRPr="00030884" w:rsidRDefault="003136E2" w:rsidP="001B383E">
            <w:pPr>
              <w:pStyle w:val="TAC"/>
            </w:pPr>
            <w:r>
              <w:t>23</w:t>
            </w:r>
          </w:p>
        </w:tc>
        <w:tc>
          <w:tcPr>
            <w:tcW w:w="1275" w:type="dxa"/>
            <w:vAlign w:val="center"/>
          </w:tcPr>
          <w:p w14:paraId="78CB6F1C" w14:textId="65900E33" w:rsidR="003136E2" w:rsidRPr="00030884" w:rsidRDefault="003136E2" w:rsidP="001B383E">
            <w:pPr>
              <w:pStyle w:val="TAC"/>
            </w:pPr>
            <w:r>
              <w:t>3</w:t>
            </w:r>
          </w:p>
        </w:tc>
        <w:tc>
          <w:tcPr>
            <w:tcW w:w="1560" w:type="dxa"/>
            <w:tcBorders>
              <w:left w:val="double" w:sz="4" w:space="0" w:color="auto"/>
              <w:right w:val="double" w:sz="4" w:space="0" w:color="auto"/>
            </w:tcBorders>
          </w:tcPr>
          <w:p w14:paraId="2F727B09" w14:textId="7CB89B66" w:rsidR="003136E2" w:rsidRPr="00DB6466" w:rsidRDefault="00D87706" w:rsidP="001B383E">
            <w:pPr>
              <w:pStyle w:val="TAC"/>
            </w:pPr>
            <w:r>
              <w:t>5</w:t>
            </w:r>
          </w:p>
        </w:tc>
      </w:tr>
      <w:tr w:rsidR="003136E2" w:rsidRPr="00030884" w14:paraId="2A1F470C" w14:textId="77777777" w:rsidTr="007B39E9">
        <w:trPr>
          <w:cantSplit/>
          <w:jc w:val="center"/>
        </w:trPr>
        <w:tc>
          <w:tcPr>
            <w:tcW w:w="1701" w:type="dxa"/>
            <w:tcBorders>
              <w:left w:val="double" w:sz="4" w:space="0" w:color="auto"/>
              <w:right w:val="double" w:sz="4" w:space="0" w:color="auto"/>
            </w:tcBorders>
            <w:shd w:val="clear" w:color="auto" w:fill="auto"/>
            <w:vAlign w:val="center"/>
          </w:tcPr>
          <w:p w14:paraId="50E00462" w14:textId="37E67E2A" w:rsidR="003136E2" w:rsidRPr="00030884" w:rsidRDefault="003136E2" w:rsidP="001B383E">
            <w:pPr>
              <w:pStyle w:val="TAC"/>
            </w:pPr>
            <w:r>
              <w:t>24</w:t>
            </w:r>
          </w:p>
        </w:tc>
        <w:tc>
          <w:tcPr>
            <w:tcW w:w="1275" w:type="dxa"/>
            <w:vAlign w:val="center"/>
          </w:tcPr>
          <w:p w14:paraId="3D15095B" w14:textId="10930603" w:rsidR="003136E2" w:rsidRPr="00030884" w:rsidRDefault="003136E2" w:rsidP="001B383E">
            <w:pPr>
              <w:pStyle w:val="TAC"/>
            </w:pPr>
            <w:r>
              <w:t>4</w:t>
            </w:r>
          </w:p>
        </w:tc>
        <w:tc>
          <w:tcPr>
            <w:tcW w:w="1560" w:type="dxa"/>
            <w:tcBorders>
              <w:left w:val="double" w:sz="4" w:space="0" w:color="auto"/>
              <w:right w:val="double" w:sz="4" w:space="0" w:color="auto"/>
            </w:tcBorders>
          </w:tcPr>
          <w:p w14:paraId="6B14B528" w14:textId="42267FF4" w:rsidR="003136E2" w:rsidRPr="00DB6466" w:rsidRDefault="00D87706" w:rsidP="001B383E">
            <w:pPr>
              <w:pStyle w:val="TAC"/>
            </w:pPr>
            <w:r>
              <w:t>3</w:t>
            </w:r>
          </w:p>
        </w:tc>
      </w:tr>
      <w:tr w:rsidR="003136E2" w:rsidRPr="00030884" w14:paraId="7B113A58" w14:textId="77777777" w:rsidTr="007B39E9">
        <w:trPr>
          <w:cantSplit/>
          <w:jc w:val="center"/>
        </w:trPr>
        <w:tc>
          <w:tcPr>
            <w:tcW w:w="1701" w:type="dxa"/>
            <w:tcBorders>
              <w:left w:val="double" w:sz="4" w:space="0" w:color="auto"/>
              <w:right w:val="double" w:sz="4" w:space="0" w:color="auto"/>
            </w:tcBorders>
            <w:shd w:val="clear" w:color="auto" w:fill="auto"/>
            <w:vAlign w:val="center"/>
          </w:tcPr>
          <w:p w14:paraId="0CF572A0" w14:textId="4CB5AB04" w:rsidR="003136E2" w:rsidRPr="00030884" w:rsidRDefault="003136E2" w:rsidP="001B383E">
            <w:pPr>
              <w:pStyle w:val="TAC"/>
            </w:pPr>
            <w:r>
              <w:t>25</w:t>
            </w:r>
          </w:p>
        </w:tc>
        <w:tc>
          <w:tcPr>
            <w:tcW w:w="1275" w:type="dxa"/>
            <w:vAlign w:val="center"/>
          </w:tcPr>
          <w:p w14:paraId="3F3B20BE" w14:textId="26144C00" w:rsidR="003136E2" w:rsidRPr="00030884" w:rsidRDefault="003136E2" w:rsidP="001B383E">
            <w:pPr>
              <w:pStyle w:val="TAC"/>
            </w:pPr>
            <w:r>
              <w:t>4</w:t>
            </w:r>
          </w:p>
        </w:tc>
        <w:tc>
          <w:tcPr>
            <w:tcW w:w="1560" w:type="dxa"/>
            <w:tcBorders>
              <w:left w:val="double" w:sz="4" w:space="0" w:color="auto"/>
              <w:right w:val="double" w:sz="4" w:space="0" w:color="auto"/>
            </w:tcBorders>
          </w:tcPr>
          <w:p w14:paraId="5A63F0D7" w14:textId="296AB461" w:rsidR="003136E2" w:rsidRPr="00DB6466" w:rsidRDefault="00D87706" w:rsidP="001B383E">
            <w:pPr>
              <w:pStyle w:val="TAC"/>
            </w:pPr>
            <w:r>
              <w:t>4</w:t>
            </w:r>
          </w:p>
        </w:tc>
      </w:tr>
      <w:tr w:rsidR="003136E2" w:rsidRPr="00030884" w14:paraId="083A5FE4" w14:textId="77777777" w:rsidTr="007B39E9">
        <w:trPr>
          <w:cantSplit/>
          <w:jc w:val="center"/>
        </w:trPr>
        <w:tc>
          <w:tcPr>
            <w:tcW w:w="1701" w:type="dxa"/>
            <w:tcBorders>
              <w:left w:val="double" w:sz="4" w:space="0" w:color="auto"/>
              <w:right w:val="double" w:sz="4" w:space="0" w:color="auto"/>
            </w:tcBorders>
            <w:shd w:val="clear" w:color="auto" w:fill="auto"/>
            <w:vAlign w:val="center"/>
          </w:tcPr>
          <w:p w14:paraId="5EF82C71" w14:textId="1217E9EB" w:rsidR="003136E2" w:rsidRPr="00030884" w:rsidRDefault="003136E2" w:rsidP="001B383E">
            <w:pPr>
              <w:pStyle w:val="TAC"/>
            </w:pPr>
            <w:r>
              <w:t>26</w:t>
            </w:r>
          </w:p>
        </w:tc>
        <w:tc>
          <w:tcPr>
            <w:tcW w:w="1275" w:type="dxa"/>
            <w:vAlign w:val="center"/>
          </w:tcPr>
          <w:p w14:paraId="71CDC93C" w14:textId="5AE7FCDB" w:rsidR="003136E2" w:rsidRPr="00030884" w:rsidRDefault="003136E2" w:rsidP="001B383E">
            <w:pPr>
              <w:pStyle w:val="TAC"/>
            </w:pPr>
            <w:r>
              <w:t>4</w:t>
            </w:r>
          </w:p>
        </w:tc>
        <w:tc>
          <w:tcPr>
            <w:tcW w:w="1560" w:type="dxa"/>
            <w:tcBorders>
              <w:left w:val="double" w:sz="4" w:space="0" w:color="auto"/>
              <w:right w:val="double" w:sz="4" w:space="0" w:color="auto"/>
            </w:tcBorders>
          </w:tcPr>
          <w:p w14:paraId="7EADE8FF" w14:textId="177DF22C" w:rsidR="003136E2" w:rsidRPr="00DB6466" w:rsidRDefault="00D87706" w:rsidP="001B383E">
            <w:pPr>
              <w:pStyle w:val="TAC"/>
            </w:pPr>
            <w:r>
              <w:t>5</w:t>
            </w:r>
          </w:p>
        </w:tc>
      </w:tr>
      <w:tr w:rsidR="003136E2" w:rsidRPr="00030884" w14:paraId="5BC5C6CD" w14:textId="77777777" w:rsidTr="007B39E9">
        <w:trPr>
          <w:cantSplit/>
          <w:jc w:val="center"/>
        </w:trPr>
        <w:tc>
          <w:tcPr>
            <w:tcW w:w="1701" w:type="dxa"/>
            <w:tcBorders>
              <w:left w:val="double" w:sz="4" w:space="0" w:color="auto"/>
              <w:right w:val="double" w:sz="4" w:space="0" w:color="auto"/>
            </w:tcBorders>
            <w:shd w:val="clear" w:color="auto" w:fill="auto"/>
            <w:vAlign w:val="center"/>
          </w:tcPr>
          <w:p w14:paraId="16B47187" w14:textId="1140E3AA" w:rsidR="003136E2" w:rsidRDefault="003136E2" w:rsidP="001B383E">
            <w:pPr>
              <w:pStyle w:val="TAC"/>
            </w:pPr>
            <w:r>
              <w:t>27</w:t>
            </w:r>
          </w:p>
        </w:tc>
        <w:tc>
          <w:tcPr>
            <w:tcW w:w="1275" w:type="dxa"/>
            <w:vAlign w:val="center"/>
          </w:tcPr>
          <w:p w14:paraId="237416B8" w14:textId="4A07E171" w:rsidR="003136E2" w:rsidRPr="00030884" w:rsidRDefault="003136E2" w:rsidP="001B383E">
            <w:pPr>
              <w:pStyle w:val="TAC"/>
              <w:rPr>
                <w:color w:val="000000"/>
                <w:szCs w:val="18"/>
              </w:rPr>
            </w:pPr>
            <w:r>
              <w:rPr>
                <w:color w:val="000000"/>
                <w:szCs w:val="18"/>
              </w:rPr>
              <w:t>6</w:t>
            </w:r>
          </w:p>
        </w:tc>
        <w:tc>
          <w:tcPr>
            <w:tcW w:w="1560" w:type="dxa"/>
            <w:tcBorders>
              <w:left w:val="double" w:sz="4" w:space="0" w:color="auto"/>
              <w:right w:val="double" w:sz="4" w:space="0" w:color="auto"/>
            </w:tcBorders>
          </w:tcPr>
          <w:p w14:paraId="3798600B" w14:textId="5A8C36BD" w:rsidR="003136E2" w:rsidRPr="00DB6466" w:rsidRDefault="00D87706" w:rsidP="001B383E">
            <w:pPr>
              <w:pStyle w:val="TAC"/>
            </w:pPr>
            <w:r>
              <w:t>1</w:t>
            </w:r>
          </w:p>
        </w:tc>
      </w:tr>
      <w:tr w:rsidR="003136E2" w:rsidRPr="00030884" w14:paraId="34CBDB0D" w14:textId="77777777" w:rsidTr="007B39E9">
        <w:trPr>
          <w:cantSplit/>
          <w:jc w:val="center"/>
        </w:trPr>
        <w:tc>
          <w:tcPr>
            <w:tcW w:w="1701" w:type="dxa"/>
            <w:tcBorders>
              <w:left w:val="double" w:sz="4" w:space="0" w:color="auto"/>
              <w:right w:val="double" w:sz="4" w:space="0" w:color="auto"/>
            </w:tcBorders>
            <w:shd w:val="clear" w:color="auto" w:fill="auto"/>
            <w:vAlign w:val="center"/>
          </w:tcPr>
          <w:p w14:paraId="4D688C4D" w14:textId="7B7727C6" w:rsidR="003136E2" w:rsidRDefault="003136E2" w:rsidP="001B383E">
            <w:pPr>
              <w:pStyle w:val="TAC"/>
            </w:pPr>
            <w:r>
              <w:t>28</w:t>
            </w:r>
          </w:p>
        </w:tc>
        <w:tc>
          <w:tcPr>
            <w:tcW w:w="1275" w:type="dxa"/>
            <w:vAlign w:val="center"/>
          </w:tcPr>
          <w:p w14:paraId="3EDB3A0B" w14:textId="1972D733" w:rsidR="003136E2" w:rsidRPr="00030884" w:rsidRDefault="003136E2" w:rsidP="001B383E">
            <w:pPr>
              <w:pStyle w:val="TAC"/>
              <w:rPr>
                <w:color w:val="000000"/>
                <w:szCs w:val="18"/>
              </w:rPr>
            </w:pPr>
            <w:r>
              <w:rPr>
                <w:color w:val="000000"/>
                <w:szCs w:val="18"/>
              </w:rPr>
              <w:t>6</w:t>
            </w:r>
          </w:p>
        </w:tc>
        <w:tc>
          <w:tcPr>
            <w:tcW w:w="1560" w:type="dxa"/>
            <w:tcBorders>
              <w:left w:val="double" w:sz="4" w:space="0" w:color="auto"/>
              <w:right w:val="double" w:sz="4" w:space="0" w:color="auto"/>
            </w:tcBorders>
          </w:tcPr>
          <w:p w14:paraId="7B4E8A30" w14:textId="2B5AA4E0" w:rsidR="003136E2" w:rsidRPr="00030884" w:rsidRDefault="00D87706" w:rsidP="001B383E">
            <w:pPr>
              <w:pStyle w:val="TAC"/>
            </w:pPr>
            <w:r>
              <w:t>2</w:t>
            </w:r>
          </w:p>
        </w:tc>
      </w:tr>
      <w:tr w:rsidR="003136E2" w:rsidRPr="00030884" w14:paraId="0CB67D5F" w14:textId="77777777" w:rsidTr="007B39E9">
        <w:trPr>
          <w:cantSplit/>
          <w:jc w:val="center"/>
        </w:trPr>
        <w:tc>
          <w:tcPr>
            <w:tcW w:w="1701" w:type="dxa"/>
            <w:tcBorders>
              <w:left w:val="double" w:sz="4" w:space="0" w:color="auto"/>
              <w:right w:val="double" w:sz="4" w:space="0" w:color="auto"/>
            </w:tcBorders>
            <w:shd w:val="clear" w:color="auto" w:fill="auto"/>
            <w:vAlign w:val="center"/>
          </w:tcPr>
          <w:p w14:paraId="22DA1F81" w14:textId="46EDD7F3" w:rsidR="003136E2" w:rsidRDefault="003136E2" w:rsidP="001B383E">
            <w:pPr>
              <w:pStyle w:val="TAC"/>
            </w:pPr>
            <w:r>
              <w:t>29</w:t>
            </w:r>
          </w:p>
        </w:tc>
        <w:tc>
          <w:tcPr>
            <w:tcW w:w="1275" w:type="dxa"/>
            <w:vAlign w:val="center"/>
          </w:tcPr>
          <w:p w14:paraId="24F75D79" w14:textId="6110F59C" w:rsidR="003136E2" w:rsidRPr="00030884" w:rsidRDefault="003136E2" w:rsidP="001B383E">
            <w:pPr>
              <w:pStyle w:val="TAC"/>
              <w:rPr>
                <w:color w:val="000000"/>
                <w:szCs w:val="18"/>
              </w:rPr>
            </w:pPr>
            <w:r>
              <w:rPr>
                <w:color w:val="000000"/>
                <w:szCs w:val="18"/>
              </w:rPr>
              <w:t>6</w:t>
            </w:r>
          </w:p>
        </w:tc>
        <w:tc>
          <w:tcPr>
            <w:tcW w:w="1560" w:type="dxa"/>
            <w:tcBorders>
              <w:left w:val="double" w:sz="4" w:space="0" w:color="auto"/>
              <w:right w:val="double" w:sz="4" w:space="0" w:color="auto"/>
            </w:tcBorders>
          </w:tcPr>
          <w:p w14:paraId="40C9BAFB" w14:textId="1560C4F0" w:rsidR="003136E2" w:rsidRPr="00030884" w:rsidRDefault="00D87706" w:rsidP="001B383E">
            <w:pPr>
              <w:pStyle w:val="TAC"/>
            </w:pPr>
            <w:r>
              <w:t>3</w:t>
            </w:r>
          </w:p>
        </w:tc>
      </w:tr>
      <w:tr w:rsidR="003136E2" w:rsidRPr="00030884" w14:paraId="1735A916" w14:textId="77777777" w:rsidTr="007B39E9">
        <w:trPr>
          <w:cantSplit/>
          <w:jc w:val="center"/>
        </w:trPr>
        <w:tc>
          <w:tcPr>
            <w:tcW w:w="1701" w:type="dxa"/>
            <w:tcBorders>
              <w:left w:val="double" w:sz="4" w:space="0" w:color="auto"/>
              <w:right w:val="double" w:sz="4" w:space="0" w:color="auto"/>
            </w:tcBorders>
            <w:shd w:val="clear" w:color="auto" w:fill="auto"/>
            <w:vAlign w:val="center"/>
          </w:tcPr>
          <w:p w14:paraId="4FF46905" w14:textId="39996F0C" w:rsidR="003136E2" w:rsidRDefault="003136E2" w:rsidP="001B383E">
            <w:pPr>
              <w:pStyle w:val="TAC"/>
            </w:pPr>
            <w:r>
              <w:t>30</w:t>
            </w:r>
          </w:p>
        </w:tc>
        <w:tc>
          <w:tcPr>
            <w:tcW w:w="1275" w:type="dxa"/>
            <w:vAlign w:val="center"/>
          </w:tcPr>
          <w:p w14:paraId="6E6DD7E7" w14:textId="70C182F4" w:rsidR="003136E2" w:rsidRPr="00030884" w:rsidRDefault="003136E2" w:rsidP="001B383E">
            <w:pPr>
              <w:pStyle w:val="TAC"/>
              <w:rPr>
                <w:color w:val="000000"/>
                <w:szCs w:val="18"/>
              </w:rPr>
            </w:pPr>
            <w:r>
              <w:rPr>
                <w:color w:val="000000"/>
                <w:szCs w:val="18"/>
              </w:rPr>
              <w:t>6</w:t>
            </w:r>
          </w:p>
        </w:tc>
        <w:tc>
          <w:tcPr>
            <w:tcW w:w="1560" w:type="dxa"/>
            <w:tcBorders>
              <w:left w:val="double" w:sz="4" w:space="0" w:color="auto"/>
              <w:right w:val="double" w:sz="4" w:space="0" w:color="auto"/>
            </w:tcBorders>
          </w:tcPr>
          <w:p w14:paraId="0700B920" w14:textId="3D09C8C9" w:rsidR="003136E2" w:rsidRPr="00030884" w:rsidRDefault="00D87706" w:rsidP="001B383E">
            <w:pPr>
              <w:pStyle w:val="TAC"/>
            </w:pPr>
            <w:r>
              <w:t>4</w:t>
            </w:r>
          </w:p>
        </w:tc>
      </w:tr>
      <w:tr w:rsidR="003136E2" w:rsidRPr="00030884" w14:paraId="296C7A51" w14:textId="77777777" w:rsidTr="007B39E9">
        <w:trPr>
          <w:cantSplit/>
          <w:jc w:val="center"/>
        </w:trPr>
        <w:tc>
          <w:tcPr>
            <w:tcW w:w="1701" w:type="dxa"/>
            <w:tcBorders>
              <w:left w:val="double" w:sz="4" w:space="0" w:color="auto"/>
              <w:bottom w:val="double" w:sz="4" w:space="0" w:color="auto"/>
              <w:right w:val="double" w:sz="4" w:space="0" w:color="auto"/>
            </w:tcBorders>
            <w:shd w:val="clear" w:color="auto" w:fill="auto"/>
            <w:vAlign w:val="center"/>
          </w:tcPr>
          <w:p w14:paraId="00A47B1A" w14:textId="7106C5D0" w:rsidR="003136E2" w:rsidRDefault="003136E2" w:rsidP="001B383E">
            <w:pPr>
              <w:pStyle w:val="TAC"/>
            </w:pPr>
            <w:r>
              <w:t>31</w:t>
            </w:r>
          </w:p>
        </w:tc>
        <w:tc>
          <w:tcPr>
            <w:tcW w:w="1275" w:type="dxa"/>
            <w:tcBorders>
              <w:bottom w:val="double" w:sz="4" w:space="0" w:color="auto"/>
            </w:tcBorders>
            <w:vAlign w:val="center"/>
          </w:tcPr>
          <w:p w14:paraId="41133A36" w14:textId="3D8E0BF6" w:rsidR="003136E2" w:rsidRPr="00030884" w:rsidRDefault="003136E2" w:rsidP="001B383E">
            <w:pPr>
              <w:pStyle w:val="TAC"/>
              <w:rPr>
                <w:color w:val="000000"/>
                <w:szCs w:val="18"/>
              </w:rPr>
            </w:pPr>
            <w:r>
              <w:rPr>
                <w:color w:val="000000"/>
                <w:szCs w:val="18"/>
              </w:rPr>
              <w:t>6</w:t>
            </w:r>
          </w:p>
        </w:tc>
        <w:tc>
          <w:tcPr>
            <w:tcW w:w="1560" w:type="dxa"/>
            <w:tcBorders>
              <w:left w:val="double" w:sz="4" w:space="0" w:color="auto"/>
              <w:bottom w:val="double" w:sz="4" w:space="0" w:color="auto"/>
              <w:right w:val="double" w:sz="4" w:space="0" w:color="auto"/>
            </w:tcBorders>
          </w:tcPr>
          <w:p w14:paraId="19ACF214" w14:textId="36556BC0" w:rsidR="003136E2" w:rsidRPr="00030884" w:rsidRDefault="00D87706" w:rsidP="001B383E">
            <w:pPr>
              <w:pStyle w:val="TAC"/>
            </w:pPr>
            <w:r>
              <w:t>5</w:t>
            </w:r>
          </w:p>
        </w:tc>
      </w:tr>
    </w:tbl>
    <w:p w14:paraId="58ACC235" w14:textId="422D1C26" w:rsidR="002850BB" w:rsidRDefault="002D3D0B" w:rsidP="00126F2C">
      <w:pPr>
        <w:pStyle w:val="Caption"/>
      </w:pPr>
      <w:r>
        <w:t xml:space="preserve"> </w:t>
      </w:r>
    </w:p>
    <w:p w14:paraId="6F04D403" w14:textId="227DB97C" w:rsidR="000D336C" w:rsidRPr="00246D7E" w:rsidRDefault="000D336C" w:rsidP="000D336C">
      <w:r>
        <w:rPr>
          <w:lang w:val="en-GB" w:eastAsia="zh-CN"/>
        </w:rPr>
        <w:t xml:space="preserve">An alternative usage of the 11 RIV values is to </w:t>
      </w:r>
      <w:r w:rsidR="001735D9">
        <w:rPr>
          <w:lang w:val="en-GB" w:eastAsia="zh-CN"/>
        </w:rPr>
        <w:t>optimize the selected allocations for the different system bandwidths and narrowband locations.</w:t>
      </w:r>
      <w:r w:rsidR="002255A6">
        <w:rPr>
          <w:lang w:val="en-GB" w:eastAsia="zh-CN"/>
        </w:rPr>
        <w:t xml:space="preserve"> The relation of the RBGs to the narrowbands for the different system bandwidths is depicted in </w:t>
      </w:r>
      <w:r w:rsidR="002255A6">
        <w:rPr>
          <w:lang w:val="en-GB" w:eastAsia="zh-CN"/>
        </w:rPr>
        <w:fldChar w:fldCharType="begin"/>
      </w:r>
      <w:r w:rsidR="002255A6">
        <w:rPr>
          <w:lang w:val="en-GB" w:eastAsia="zh-CN"/>
        </w:rPr>
        <w:instrText xml:space="preserve"> REF _Ref505936912 \h </w:instrText>
      </w:r>
      <w:r w:rsidR="002255A6">
        <w:rPr>
          <w:lang w:val="en-GB" w:eastAsia="zh-CN"/>
        </w:rPr>
      </w:r>
      <w:r w:rsidR="002255A6">
        <w:rPr>
          <w:lang w:val="en-GB" w:eastAsia="zh-CN"/>
        </w:rPr>
        <w:fldChar w:fldCharType="separate"/>
      </w:r>
      <w:r w:rsidR="00725BFD">
        <w:t xml:space="preserve">Figure </w:t>
      </w:r>
      <w:r w:rsidR="00725BFD">
        <w:rPr>
          <w:noProof/>
        </w:rPr>
        <w:t>5</w:t>
      </w:r>
      <w:r w:rsidR="002255A6">
        <w:rPr>
          <w:lang w:val="en-GB" w:eastAsia="zh-CN"/>
        </w:rPr>
        <w:fldChar w:fldCharType="end"/>
      </w:r>
      <w:r w:rsidR="00050C7F">
        <w:rPr>
          <w:lang w:val="en-GB" w:eastAsia="zh-CN"/>
        </w:rPr>
        <w:t xml:space="preserve"> (Appendix A in Section </w:t>
      </w:r>
      <w:r w:rsidR="00050C7F">
        <w:rPr>
          <w:lang w:val="en-GB" w:eastAsia="zh-CN"/>
        </w:rPr>
        <w:fldChar w:fldCharType="begin"/>
      </w:r>
      <w:r w:rsidR="00050C7F">
        <w:rPr>
          <w:lang w:val="en-GB" w:eastAsia="zh-CN"/>
        </w:rPr>
        <w:instrText xml:space="preserve"> REF _Ref513193801 \n \h </w:instrText>
      </w:r>
      <w:r w:rsidR="00050C7F">
        <w:rPr>
          <w:lang w:val="en-GB" w:eastAsia="zh-CN"/>
        </w:rPr>
      </w:r>
      <w:r w:rsidR="00050C7F">
        <w:rPr>
          <w:lang w:val="en-GB" w:eastAsia="zh-CN"/>
        </w:rPr>
        <w:fldChar w:fldCharType="separate"/>
      </w:r>
      <w:r w:rsidR="00725BFD">
        <w:rPr>
          <w:lang w:val="en-GB" w:eastAsia="zh-CN"/>
        </w:rPr>
        <w:t>5</w:t>
      </w:r>
      <w:r w:rsidR="00050C7F">
        <w:rPr>
          <w:lang w:val="en-GB" w:eastAsia="zh-CN"/>
        </w:rPr>
        <w:fldChar w:fldCharType="end"/>
      </w:r>
      <w:r w:rsidR="00050C7F">
        <w:rPr>
          <w:lang w:val="en-GB" w:eastAsia="zh-CN"/>
        </w:rPr>
        <w:t>)</w:t>
      </w:r>
      <w:r w:rsidR="002255A6">
        <w:rPr>
          <w:lang w:val="en-GB" w:eastAsia="zh-CN"/>
        </w:rPr>
        <w:t>.</w:t>
      </w:r>
      <w:r w:rsidR="001735D9">
        <w:rPr>
          <w:lang w:val="en-GB" w:eastAsia="zh-CN"/>
        </w:rPr>
        <w:t xml:space="preserve"> </w:t>
      </w:r>
      <w:r w:rsidR="005170DF">
        <w:rPr>
          <w:lang w:val="en-GB" w:eastAsia="zh-CN"/>
        </w:rPr>
        <w:t xml:space="preserve">The alignment of the resource allocation to the RBGs is shown in </w:t>
      </w:r>
      <w:r w:rsidR="00BD7BBF">
        <w:rPr>
          <w:lang w:val="en-GB" w:eastAsia="zh-CN"/>
        </w:rPr>
        <w:fldChar w:fldCharType="begin"/>
      </w:r>
      <w:r w:rsidR="00BD7BBF">
        <w:rPr>
          <w:lang w:val="en-GB" w:eastAsia="zh-CN"/>
        </w:rPr>
        <w:instrText xml:space="preserve"> REF _Ref513192960 \h </w:instrText>
      </w:r>
      <w:r w:rsidR="00BD7BBF">
        <w:rPr>
          <w:lang w:val="en-GB" w:eastAsia="zh-CN"/>
        </w:rPr>
      </w:r>
      <w:r w:rsidR="00BD7BBF">
        <w:rPr>
          <w:lang w:val="en-GB" w:eastAsia="zh-CN"/>
        </w:rPr>
        <w:fldChar w:fldCharType="separate"/>
      </w:r>
      <w:r w:rsidR="00725BFD">
        <w:t xml:space="preserve">Figure </w:t>
      </w:r>
      <w:r w:rsidR="00725BFD">
        <w:rPr>
          <w:noProof/>
        </w:rPr>
        <w:t>9</w:t>
      </w:r>
      <w:r w:rsidR="00BD7BBF">
        <w:rPr>
          <w:lang w:val="en-GB" w:eastAsia="zh-CN"/>
        </w:rPr>
        <w:fldChar w:fldCharType="end"/>
      </w:r>
      <w:r w:rsidR="00BD7BBF">
        <w:rPr>
          <w:lang w:val="en-GB" w:eastAsia="zh-CN"/>
        </w:rPr>
        <w:t xml:space="preserve"> - </w:t>
      </w:r>
      <w:r w:rsidR="00BD7BBF">
        <w:rPr>
          <w:lang w:val="en-GB" w:eastAsia="zh-CN"/>
        </w:rPr>
        <w:fldChar w:fldCharType="begin"/>
      </w:r>
      <w:r w:rsidR="00BD7BBF">
        <w:rPr>
          <w:lang w:val="en-GB" w:eastAsia="zh-CN"/>
        </w:rPr>
        <w:instrText xml:space="preserve"> REF _Ref513192965 \h </w:instrText>
      </w:r>
      <w:r w:rsidR="00BD7BBF">
        <w:rPr>
          <w:lang w:val="en-GB" w:eastAsia="zh-CN"/>
        </w:rPr>
      </w:r>
      <w:r w:rsidR="00BD7BBF">
        <w:rPr>
          <w:lang w:val="en-GB" w:eastAsia="zh-CN"/>
        </w:rPr>
        <w:fldChar w:fldCharType="separate"/>
      </w:r>
      <w:r w:rsidR="00725BFD">
        <w:t xml:space="preserve">Figure </w:t>
      </w:r>
      <w:r w:rsidR="00725BFD">
        <w:rPr>
          <w:noProof/>
        </w:rPr>
        <w:t>12</w:t>
      </w:r>
      <w:r w:rsidR="00BD7BBF">
        <w:rPr>
          <w:lang w:val="en-GB" w:eastAsia="zh-CN"/>
        </w:rPr>
        <w:fldChar w:fldCharType="end"/>
      </w:r>
      <w:r w:rsidR="00246D7E">
        <w:rPr>
          <w:lang w:val="en-GB" w:eastAsia="zh-CN"/>
        </w:rPr>
        <w:t xml:space="preserve"> in the Appendix </w:t>
      </w:r>
      <w:r w:rsidR="00050C7F">
        <w:rPr>
          <w:lang w:val="en-GB" w:eastAsia="zh-CN"/>
        </w:rPr>
        <w:t xml:space="preserve">B </w:t>
      </w:r>
      <w:r w:rsidR="00246D7E">
        <w:rPr>
          <w:lang w:val="en-GB" w:eastAsia="zh-CN"/>
        </w:rPr>
        <w:t xml:space="preserve">in </w:t>
      </w:r>
      <w:r w:rsidR="00050C7F">
        <w:rPr>
          <w:lang w:val="en-GB" w:eastAsia="zh-CN"/>
        </w:rPr>
        <w:t>S</w:t>
      </w:r>
      <w:r w:rsidR="00246D7E">
        <w:rPr>
          <w:lang w:val="en-GB" w:eastAsia="zh-CN"/>
        </w:rPr>
        <w:t xml:space="preserve">ection </w:t>
      </w:r>
      <w:r w:rsidR="00246D7E">
        <w:rPr>
          <w:lang w:val="en-GB" w:eastAsia="zh-CN"/>
        </w:rPr>
        <w:fldChar w:fldCharType="begin"/>
      </w:r>
      <w:r w:rsidR="00246D7E">
        <w:rPr>
          <w:lang w:val="en-GB" w:eastAsia="zh-CN"/>
        </w:rPr>
        <w:instrText xml:space="preserve"> REF _Ref513192830 \r \h </w:instrText>
      </w:r>
      <w:r w:rsidR="00246D7E">
        <w:rPr>
          <w:lang w:val="en-GB" w:eastAsia="zh-CN"/>
        </w:rPr>
      </w:r>
      <w:r w:rsidR="00246D7E">
        <w:rPr>
          <w:lang w:val="en-GB" w:eastAsia="zh-CN"/>
        </w:rPr>
        <w:fldChar w:fldCharType="separate"/>
      </w:r>
      <w:r w:rsidR="00725BFD">
        <w:rPr>
          <w:lang w:val="en-GB" w:eastAsia="zh-CN"/>
        </w:rPr>
        <w:t>6</w:t>
      </w:r>
      <w:r w:rsidR="00246D7E">
        <w:rPr>
          <w:lang w:val="en-GB" w:eastAsia="zh-CN"/>
        </w:rPr>
        <w:fldChar w:fldCharType="end"/>
      </w:r>
      <w:r w:rsidR="005170DF">
        <w:rPr>
          <w:lang w:val="en-GB" w:eastAsia="zh-CN"/>
        </w:rPr>
        <w:t xml:space="preserve"> for the different system bandwidths.</w:t>
      </w:r>
      <w:r w:rsidR="00246D7E">
        <w:t xml:space="preserve"> </w:t>
      </w:r>
      <w:r w:rsidR="005170DF">
        <w:rPr>
          <w:lang w:val="en-GB" w:eastAsia="zh-CN"/>
        </w:rPr>
        <w:t>From the diagrams it can be observed that although the starting PRB for the 5 PRB allocation is limited to only two PRBs within each narrowband, these</w:t>
      </w:r>
      <w:r w:rsidR="00562A5D">
        <w:rPr>
          <w:lang w:val="en-GB" w:eastAsia="zh-CN"/>
        </w:rPr>
        <w:t xml:space="preserve"> two</w:t>
      </w:r>
      <w:r w:rsidR="005170DF">
        <w:rPr>
          <w:lang w:val="en-GB" w:eastAsia="zh-CN"/>
        </w:rPr>
        <w:t xml:space="preserve"> assignments can be used to minimize the number of unused PRBs due to RBG conflict. Thus, the proposed usage of the RIV values as outlined in </w:t>
      </w:r>
      <w:r w:rsidR="005170DF">
        <w:rPr>
          <w:lang w:val="en-GB" w:eastAsia="zh-CN"/>
        </w:rPr>
        <w:fldChar w:fldCharType="begin"/>
      </w:r>
      <w:r w:rsidR="005170DF">
        <w:rPr>
          <w:lang w:val="en-GB" w:eastAsia="zh-CN"/>
        </w:rPr>
        <w:instrText xml:space="preserve"> REF _Ref510638416 \h </w:instrText>
      </w:r>
      <w:r w:rsidR="005170DF">
        <w:rPr>
          <w:lang w:val="en-GB" w:eastAsia="zh-CN"/>
        </w:rPr>
      </w:r>
      <w:r w:rsidR="005170DF">
        <w:rPr>
          <w:lang w:val="en-GB" w:eastAsia="zh-CN"/>
        </w:rPr>
        <w:fldChar w:fldCharType="separate"/>
      </w:r>
      <w:r w:rsidR="00725BFD">
        <w:t xml:space="preserve">Figure </w:t>
      </w:r>
      <w:r w:rsidR="00725BFD">
        <w:rPr>
          <w:noProof/>
        </w:rPr>
        <w:t>1</w:t>
      </w:r>
      <w:r w:rsidR="005170DF">
        <w:rPr>
          <w:lang w:val="en-GB" w:eastAsia="zh-CN"/>
        </w:rPr>
        <w:fldChar w:fldCharType="end"/>
      </w:r>
      <w:r w:rsidR="005170DF">
        <w:rPr>
          <w:lang w:val="en-GB" w:eastAsia="zh-CN"/>
        </w:rPr>
        <w:t xml:space="preserve"> </w:t>
      </w:r>
      <w:r w:rsidR="003B6794">
        <w:rPr>
          <w:lang w:val="en-GB" w:eastAsia="zh-CN"/>
        </w:rPr>
        <w:t>is</w:t>
      </w:r>
      <w:r w:rsidR="005170DF">
        <w:rPr>
          <w:lang w:val="en-GB" w:eastAsia="zh-CN"/>
        </w:rPr>
        <w:t xml:space="preserve"> suitable for all system bandwidths and may be used to align the allocation</w:t>
      </w:r>
      <w:r w:rsidR="00BD5AF3">
        <w:rPr>
          <w:lang w:val="en-GB" w:eastAsia="zh-CN"/>
        </w:rPr>
        <w:t>s</w:t>
      </w:r>
      <w:r w:rsidR="005170DF">
        <w:rPr>
          <w:lang w:val="en-GB" w:eastAsia="zh-CN"/>
        </w:rPr>
        <w:t xml:space="preserve"> of different BL/CE UEs with minimal usage of the number of RBGs. </w:t>
      </w:r>
    </w:p>
    <w:p w14:paraId="76A35E6A" w14:textId="79E3E2D0" w:rsidR="002850BB" w:rsidRPr="0051113B" w:rsidRDefault="000F5DC4" w:rsidP="002850BB">
      <w:pPr>
        <w:pStyle w:val="Proposal"/>
      </w:pPr>
      <w:bookmarkStart w:id="3" w:name="_Toc510096645"/>
      <w:bookmarkStart w:id="4" w:name="_Toc510538295"/>
      <w:bookmarkStart w:id="5" w:name="_Toc510538404"/>
      <w:bookmarkStart w:id="6" w:name="_Toc510602951"/>
      <w:bookmarkStart w:id="7" w:name="_Toc510609684"/>
      <w:bookmarkStart w:id="8" w:name="_Toc510609768"/>
      <w:bookmarkStart w:id="9" w:name="_Toc510609780"/>
      <w:bookmarkStart w:id="10" w:name="_Toc510609806"/>
      <w:bookmarkStart w:id="11" w:name="_Toc510609851"/>
      <w:bookmarkStart w:id="12" w:name="_Toc510698729"/>
      <w:bookmarkStart w:id="13" w:name="_Toc510699180"/>
      <w:bookmarkStart w:id="14" w:name="_Toc510702868"/>
      <w:bookmarkStart w:id="15" w:name="_Toc510705016"/>
      <w:bookmarkStart w:id="16" w:name="_Toc510726930"/>
      <w:bookmarkStart w:id="17" w:name="_Toc510800083"/>
      <w:bookmarkStart w:id="18" w:name="_Toc510800118"/>
      <w:bookmarkStart w:id="19" w:name="_Toc510800304"/>
      <w:bookmarkStart w:id="20" w:name="_Toc510801592"/>
      <w:bookmarkStart w:id="21" w:name="_Toc513192895"/>
      <w:bookmarkStart w:id="22" w:name="_Toc513193026"/>
      <w:bookmarkStart w:id="23" w:name="_Toc513635330"/>
      <w:bookmarkStart w:id="24" w:name="_Toc513643182"/>
      <w:bookmarkStart w:id="25" w:name="_Toc513647099"/>
      <w:bookmarkStart w:id="26" w:name="_Toc513656508"/>
      <w:bookmarkStart w:id="27" w:name="_Toc513659482"/>
      <w:bookmarkStart w:id="28" w:name="_Toc513660075"/>
      <w:bookmarkStart w:id="29" w:name="_Toc513820087"/>
      <w:bookmarkStart w:id="30" w:name="_Toc513820364"/>
      <w:bookmarkStart w:id="31" w:name="_Toc513821100"/>
      <w:r>
        <w:t>For PDSCH in CE mode A and 1.4 MHz BL/CE UE, use the RIV values 21-31 to extend the starting PRB for the resource allocation</w:t>
      </w:r>
      <w:bookmarkEnd w:id="3"/>
      <w:bookmarkEnd w:id="4"/>
      <w:bookmarkEnd w:id="5"/>
      <w:bookmarkEnd w:id="6"/>
      <w:bookmarkEnd w:id="7"/>
      <w:bookmarkEnd w:id="8"/>
      <w:bookmarkEnd w:id="9"/>
      <w:bookmarkEnd w:id="10"/>
      <w:bookmarkEnd w:id="11"/>
      <w:bookmarkEnd w:id="12"/>
      <w:bookmarkEnd w:id="13"/>
      <w:r w:rsidR="005170DF">
        <w:t>, with the RIV values 21-31 defined as in</w:t>
      </w:r>
      <w:r w:rsidR="006D5D6A">
        <w:t xml:space="preserve"> </w:t>
      </w:r>
      <w:r w:rsidR="006D5D6A">
        <w:fldChar w:fldCharType="begin"/>
      </w:r>
      <w:r w:rsidR="006D5D6A">
        <w:instrText xml:space="preserve"> REF _Ref510704965 \h </w:instrText>
      </w:r>
      <w:r w:rsidR="006D5D6A">
        <w:fldChar w:fldCharType="separate"/>
      </w:r>
      <w:r w:rsidR="00725BFD">
        <w:t xml:space="preserve">Table </w:t>
      </w:r>
      <w:r w:rsidR="00725BFD">
        <w:rPr>
          <w:noProof/>
        </w:rPr>
        <w:t>1</w:t>
      </w:r>
      <w:r w:rsidR="006D5D6A">
        <w:fldChar w:fldCharType="end"/>
      </w:r>
      <w:r w:rsidR="005170DF">
        <w:t>.</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61558BBA" w14:textId="64F3AFC4" w:rsidR="002850BB" w:rsidRDefault="00294739" w:rsidP="002850BB">
      <w:pPr>
        <w:pStyle w:val="Heading3"/>
      </w:pPr>
      <w:r>
        <w:t xml:space="preserve">PDSCH for </w:t>
      </w:r>
      <w:r w:rsidR="002850BB">
        <w:t>CE mode B and 1.4 MHz BL/CE UE</w:t>
      </w:r>
    </w:p>
    <w:p w14:paraId="79EE1BF0" w14:textId="1E612594" w:rsidR="00B5024A" w:rsidRDefault="0080678F" w:rsidP="0080678F">
      <w:r>
        <w:t xml:space="preserve">For the downlink resource allocation in CE mode B either </w:t>
      </w:r>
      <w:r w:rsidR="002572FD">
        <w:t>4</w:t>
      </w:r>
      <w:r>
        <w:t xml:space="preserve"> or </w:t>
      </w:r>
      <w:r w:rsidR="002572FD">
        <w:t>6</w:t>
      </w:r>
      <w:r>
        <w:t xml:space="preserve"> PRBs can be allocated</w:t>
      </w:r>
      <w:r w:rsidR="00620C3D">
        <w:t xml:space="preserve">. </w:t>
      </w:r>
    </w:p>
    <w:p w14:paraId="5B75FC9B" w14:textId="77777777" w:rsidR="00B5024A" w:rsidRDefault="00B5024A" w:rsidP="00B5024A">
      <w:pPr>
        <w:keepNext/>
        <w:jc w:val="center"/>
      </w:pPr>
      <w:r>
        <w:rPr>
          <w:noProof/>
        </w:rPr>
        <w:drawing>
          <wp:inline distT="0" distB="0" distL="0" distR="0" wp14:anchorId="71096444" wp14:editId="1058849C">
            <wp:extent cx="2257425" cy="857250"/>
            <wp:effectExtent l="0" t="0" r="9525" b="0"/>
            <wp:docPr id="3" name="Picture 3" descr="C:\Users\erauae\Desktop\Studies\STAR\Flexible starting PRB\PDSCH CE mode B 1.4MH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C:\Users\erauae\Desktop\Studies\STAR\Flexible starting PRB\PDSCH CE mode B 1.4MHz.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57425" cy="857250"/>
                    </a:xfrm>
                    <a:prstGeom prst="rect">
                      <a:avLst/>
                    </a:prstGeom>
                    <a:noFill/>
                    <a:ln>
                      <a:noFill/>
                    </a:ln>
                  </pic:spPr>
                </pic:pic>
              </a:graphicData>
            </a:graphic>
          </wp:inline>
        </w:drawing>
      </w:r>
    </w:p>
    <w:p w14:paraId="53314AC6" w14:textId="75C51513" w:rsidR="00B5024A" w:rsidRDefault="00B5024A" w:rsidP="00B5024A">
      <w:pPr>
        <w:pStyle w:val="Caption"/>
      </w:pPr>
      <w:r>
        <w:t xml:space="preserve">Figure </w:t>
      </w:r>
      <w:r w:rsidR="0092669D">
        <w:fldChar w:fldCharType="begin"/>
      </w:r>
      <w:r w:rsidR="0092669D">
        <w:instrText xml:space="preserve"> SEQ Figure \* ARABIC </w:instrText>
      </w:r>
      <w:r w:rsidR="0092669D">
        <w:fldChar w:fldCharType="separate"/>
      </w:r>
      <w:r w:rsidR="00725BFD">
        <w:rPr>
          <w:noProof/>
        </w:rPr>
        <w:t>2</w:t>
      </w:r>
      <w:r w:rsidR="0092669D">
        <w:rPr>
          <w:noProof/>
        </w:rPr>
        <w:fldChar w:fldCharType="end"/>
      </w:r>
      <w:r>
        <w:t xml:space="preserve">: </w:t>
      </w:r>
      <w:r w:rsidR="00620C3D">
        <w:t>PDSCH resource block assignment within narrowband for 1.4 MHz BL/CE UE.</w:t>
      </w:r>
    </w:p>
    <w:p w14:paraId="3D2535B8" w14:textId="6E0873BE" w:rsidR="00EE65B0" w:rsidRDefault="00AC2922" w:rsidP="002572FD">
      <w:r>
        <w:t>In CE mode A it is considered important that PDSCH can be scheduled back-to-back with MPDCCH to obtain maximum throughput. This ability is not considered to be equally important for CE mode B, considering that CE mode B typically would include a large amount of repetitions. Thus, t</w:t>
      </w:r>
      <w:r w:rsidR="0080678F">
        <w:t xml:space="preserve">o increase the flexibility without adding extra bits to the DCI, it is considered that a UE can be configured via RRC </w:t>
      </w:r>
      <w:r w:rsidR="003B6794">
        <w:t>signaling</w:t>
      </w:r>
      <w:r w:rsidR="0080678F">
        <w:t xml:space="preserve"> to shift the starting PRB of the allocation</w:t>
      </w:r>
      <w:r w:rsidR="002572FD">
        <w:t xml:space="preserve"> </w:t>
      </w:r>
      <w:r w:rsidR="0080678F">
        <w:t>either</w:t>
      </w:r>
      <w:r w:rsidR="002572FD">
        <w:t xml:space="preserve"> </w:t>
      </w:r>
      <w:r w:rsidR="0080678F">
        <w:t>forward or backward</w:t>
      </w:r>
      <w:r w:rsidR="002572FD">
        <w:t xml:space="preserve"> to better align to the RBGs</w:t>
      </w:r>
      <w:r w:rsidR="0080678F">
        <w:t>.</w:t>
      </w:r>
    </w:p>
    <w:p w14:paraId="2864F32F" w14:textId="2B1A6939" w:rsidR="00AF08C1" w:rsidRPr="00781A0B" w:rsidRDefault="00EE65B0" w:rsidP="002572FD">
      <w:pPr>
        <w:rPr>
          <w:lang w:val="en-GB" w:eastAsia="zh-CN"/>
        </w:rPr>
      </w:pPr>
      <w:r>
        <w:rPr>
          <w:lang w:eastAsia="zh-CN"/>
        </w:rPr>
        <w:t xml:space="preserve">The alignment of </w:t>
      </w:r>
      <w:r>
        <w:rPr>
          <w:lang w:val="en-GB" w:eastAsia="zh-CN"/>
        </w:rPr>
        <w:t xml:space="preserve">the RBGs to the narrowbands differs for different system bandwidths (see e.g. </w:t>
      </w:r>
      <w:r>
        <w:rPr>
          <w:lang w:val="en-GB" w:eastAsia="zh-CN"/>
        </w:rPr>
        <w:fldChar w:fldCharType="begin"/>
      </w:r>
      <w:r>
        <w:rPr>
          <w:lang w:val="en-GB" w:eastAsia="zh-CN"/>
        </w:rPr>
        <w:instrText xml:space="preserve"> REF _Ref505936912 \h </w:instrText>
      </w:r>
      <w:r>
        <w:rPr>
          <w:lang w:val="en-GB" w:eastAsia="zh-CN"/>
        </w:rPr>
      </w:r>
      <w:r>
        <w:rPr>
          <w:lang w:val="en-GB" w:eastAsia="zh-CN"/>
        </w:rPr>
        <w:fldChar w:fldCharType="separate"/>
      </w:r>
      <w:r w:rsidR="00725BFD">
        <w:t xml:space="preserve">Figure </w:t>
      </w:r>
      <w:r w:rsidR="00725BFD">
        <w:rPr>
          <w:noProof/>
        </w:rPr>
        <w:t>5</w:t>
      </w:r>
      <w:r>
        <w:rPr>
          <w:lang w:val="en-GB" w:eastAsia="zh-CN"/>
        </w:rPr>
        <w:fldChar w:fldCharType="end"/>
      </w:r>
      <w:r>
        <w:rPr>
          <w:lang w:val="en-GB" w:eastAsia="zh-CN"/>
        </w:rPr>
        <w:t>).</w:t>
      </w:r>
      <w:r w:rsidR="00781A0B">
        <w:rPr>
          <w:lang w:val="en-GB" w:eastAsia="zh-CN"/>
        </w:rPr>
        <w:t xml:space="preserve"> </w:t>
      </w:r>
      <w:r w:rsidR="00AF08C1">
        <w:t>The following may be observed for the different system bandwidths:</w:t>
      </w:r>
    </w:p>
    <w:p w14:paraId="10B532CF" w14:textId="21CAB122" w:rsidR="002850BB" w:rsidRDefault="00AF08C1" w:rsidP="00AF08C1">
      <w:pPr>
        <w:pStyle w:val="ListParagraph"/>
        <w:numPr>
          <w:ilvl w:val="0"/>
          <w:numId w:val="32"/>
        </w:numPr>
      </w:pPr>
      <w:r>
        <w:t xml:space="preserve">1.4MHz: </w:t>
      </w:r>
      <w:r w:rsidR="00B5024A">
        <w:tab/>
      </w:r>
      <w:r>
        <w:t>The resource assignment is already aligned with the 6 PRBs</w:t>
      </w:r>
    </w:p>
    <w:p w14:paraId="0818F7AD" w14:textId="03B467D0" w:rsidR="00B5024A" w:rsidRDefault="00B5024A" w:rsidP="00B5024A">
      <w:pPr>
        <w:pStyle w:val="ListParagraph"/>
        <w:numPr>
          <w:ilvl w:val="0"/>
          <w:numId w:val="32"/>
        </w:numPr>
      </w:pPr>
      <w:r>
        <w:lastRenderedPageBreak/>
        <w:t>3MHz:</w:t>
      </w:r>
      <w:r>
        <w:tab/>
        <w:t>The lower narrowband (NB0) has a one PRB misalignment to the RBG whereas the upper narrowband (NB1) is aligned with the RBG</w:t>
      </w:r>
    </w:p>
    <w:p w14:paraId="0FD5E56B" w14:textId="659DA9DA" w:rsidR="00AF08C1" w:rsidRDefault="00B5024A" w:rsidP="00AF08C1">
      <w:pPr>
        <w:pStyle w:val="ListParagraph"/>
        <w:numPr>
          <w:ilvl w:val="0"/>
          <w:numId w:val="32"/>
        </w:numPr>
      </w:pPr>
      <w:r>
        <w:t>5</w:t>
      </w:r>
      <w:r w:rsidR="00AF08C1">
        <w:t xml:space="preserve">MHz: </w:t>
      </w:r>
      <w:r>
        <w:tab/>
      </w:r>
      <w:r w:rsidR="00AF08C1">
        <w:t>The lower half of the narrowbands (NB0 and NB1) are already aligned</w:t>
      </w:r>
      <w:r w:rsidR="009B173B">
        <w:t xml:space="preserve"> </w:t>
      </w:r>
      <w:r>
        <w:t xml:space="preserve">with the RBGs </w:t>
      </w:r>
      <w:r w:rsidR="009B173B">
        <w:t>whereas the upper half of the narrowbands (</w:t>
      </w:r>
      <w:r w:rsidR="00B47773">
        <w:t xml:space="preserve">NB2 and NB3) </w:t>
      </w:r>
      <w:r>
        <w:t>has a one PRB misalignment to the RBGs</w:t>
      </w:r>
    </w:p>
    <w:p w14:paraId="674E7A0E" w14:textId="66E83C40" w:rsidR="00B5024A" w:rsidRDefault="00B5024A" w:rsidP="00AF08C1">
      <w:pPr>
        <w:pStyle w:val="ListParagraph"/>
        <w:numPr>
          <w:ilvl w:val="0"/>
          <w:numId w:val="32"/>
        </w:numPr>
      </w:pPr>
      <w:r>
        <w:t>10MHz:</w:t>
      </w:r>
      <w:r>
        <w:tab/>
        <w:t>All narrowbands have one PRB misalignment to the RBGs</w:t>
      </w:r>
    </w:p>
    <w:p w14:paraId="7C1BA54E" w14:textId="075219FD" w:rsidR="00620C3D" w:rsidRDefault="00B5024A" w:rsidP="00620C3D">
      <w:pPr>
        <w:pStyle w:val="ListParagraph"/>
        <w:numPr>
          <w:ilvl w:val="0"/>
          <w:numId w:val="32"/>
        </w:numPr>
      </w:pPr>
      <w:r>
        <w:t>15MHz:</w:t>
      </w:r>
      <w:r>
        <w:tab/>
        <w:t xml:space="preserve">The alignment of the narrowbands to the RBG differs between even and odd narrowbands and lower (NB0 to NB5) and upper (NB6 to NB11) half of the narrowbands. For the upper half of the narrowbands, either the first or the last PRB of a narrowband </w:t>
      </w:r>
      <w:r w:rsidR="005103F9">
        <w:t>is aligned with an RBG border</w:t>
      </w:r>
      <w:r w:rsidR="00620C3D">
        <w:t xml:space="preserve">. For the lower half of the groups of narrowbands, either the first or the last PRB of a narrowband will be aligned to an RBG border if the narrowband is shifted by 1 PRB towards PRB0. </w:t>
      </w:r>
    </w:p>
    <w:p w14:paraId="6A578F62" w14:textId="717DE56E" w:rsidR="00620C3D" w:rsidRDefault="005103F9" w:rsidP="00620C3D">
      <w:pPr>
        <w:pStyle w:val="ListParagraph"/>
        <w:ind w:left="825"/>
      </w:pPr>
      <w:r>
        <w:t xml:space="preserve">Since the RBG size for this system bandwidth is equal to 4 PRBs, there will always be </w:t>
      </w:r>
      <w:r w:rsidR="00AD13B5">
        <w:t xml:space="preserve">2 unused PRBs in an RBG when 6 PRBS are allocated for a BL/CE UE. Thus, it is considered that there are no benefits of </w:t>
      </w:r>
      <w:r w:rsidR="00620C3D">
        <w:t>further discriminating the shift to e.g. make a narrowband always be aligned with the starting PRB of an RBG.</w:t>
      </w:r>
    </w:p>
    <w:p w14:paraId="05D79DCF" w14:textId="10F44926" w:rsidR="00620C3D" w:rsidRDefault="00620C3D" w:rsidP="00BB32D4">
      <w:pPr>
        <w:pStyle w:val="ListParagraph"/>
        <w:ind w:left="825"/>
      </w:pPr>
      <w:r>
        <w:t>20MHz:</w:t>
      </w:r>
      <w:r>
        <w:tab/>
        <w:t>Similar to the discussion for the 15MHz system bandwidth, either the first or the last PRB of a narrowband is aligned with an RBG border and the RBG size is 4 PRBs. Thus, it is considered that there are no benefits of further discriminating the shift to e.g. make a narrowband always be aligned with the starting PRB of an RBG.</w:t>
      </w:r>
    </w:p>
    <w:p w14:paraId="765C4FAB" w14:textId="1433FF6A" w:rsidR="00B5024A" w:rsidRDefault="00A51D66" w:rsidP="00BB32D4">
      <w:pPr>
        <w:ind w:left="105"/>
      </w:pPr>
      <w:r>
        <w:t xml:space="preserve">Based on the observations above, </w:t>
      </w:r>
      <w:r w:rsidR="008D0B78">
        <w:t xml:space="preserve">the proposal for aligning the narrowband borders to the RBG borders is summarized in </w:t>
      </w:r>
      <w:r w:rsidR="008D0B78">
        <w:fldChar w:fldCharType="begin"/>
      </w:r>
      <w:r w:rsidR="008D0B78">
        <w:instrText xml:space="preserve"> REF _Ref510690121 \h </w:instrText>
      </w:r>
      <w:r w:rsidR="008D0B78">
        <w:fldChar w:fldCharType="separate"/>
      </w:r>
      <w:r w:rsidR="00725BFD">
        <w:t xml:space="preserve">Table </w:t>
      </w:r>
      <w:r w:rsidR="00725BFD">
        <w:rPr>
          <w:noProof/>
        </w:rPr>
        <w:t>2</w:t>
      </w:r>
      <w:r w:rsidR="008D0B78">
        <w:fldChar w:fldCharType="end"/>
      </w:r>
      <w:r w:rsidR="00BB32D4">
        <w:t>.</w:t>
      </w:r>
    </w:p>
    <w:p w14:paraId="5539CA16" w14:textId="16EA4E82" w:rsidR="00AF08C1" w:rsidRDefault="00AF08C1" w:rsidP="00AF08C1">
      <w:pPr>
        <w:pStyle w:val="Caption"/>
        <w:keepNext/>
      </w:pPr>
      <w:bookmarkStart w:id="32" w:name="_Ref510690121"/>
      <w:r>
        <w:t xml:space="preserve">Table </w:t>
      </w:r>
      <w:r w:rsidR="0092669D">
        <w:fldChar w:fldCharType="begin"/>
      </w:r>
      <w:r w:rsidR="0092669D">
        <w:instrText xml:space="preserve"> SEQ Table \* ARABIC </w:instrText>
      </w:r>
      <w:r w:rsidR="0092669D">
        <w:fldChar w:fldCharType="separate"/>
      </w:r>
      <w:r w:rsidR="00725BFD">
        <w:rPr>
          <w:noProof/>
        </w:rPr>
        <w:t>2</w:t>
      </w:r>
      <w:r w:rsidR="0092669D">
        <w:rPr>
          <w:noProof/>
        </w:rPr>
        <w:fldChar w:fldCharType="end"/>
      </w:r>
      <w:bookmarkEnd w:id="32"/>
      <w:r w:rsidR="00A51D66">
        <w:t>: Shift of starting PRB for PDSCH resource allocation in CE mode B.</w:t>
      </w:r>
    </w:p>
    <w:tbl>
      <w:tblPr>
        <w:tblStyle w:val="TableGrid"/>
        <w:tblW w:w="9341" w:type="dxa"/>
        <w:jc w:val="center"/>
        <w:tblLook w:val="04A0" w:firstRow="1" w:lastRow="0" w:firstColumn="1" w:lastColumn="0" w:noHBand="0" w:noVBand="1"/>
      </w:tblPr>
      <w:tblGrid>
        <w:gridCol w:w="816"/>
        <w:gridCol w:w="863"/>
        <w:gridCol w:w="677"/>
        <w:gridCol w:w="818"/>
        <w:gridCol w:w="3048"/>
        <w:gridCol w:w="35"/>
        <w:gridCol w:w="3084"/>
      </w:tblGrid>
      <w:tr w:rsidR="00B63B71" w14:paraId="2B08FCE4" w14:textId="77777777" w:rsidTr="00AF08C1">
        <w:trPr>
          <w:trHeight w:val="1031"/>
          <w:jc w:val="center"/>
        </w:trPr>
        <w:tc>
          <w:tcPr>
            <w:tcW w:w="816" w:type="dxa"/>
            <w:tcBorders>
              <w:top w:val="double" w:sz="4" w:space="0" w:color="auto"/>
              <w:left w:val="double" w:sz="4" w:space="0" w:color="auto"/>
              <w:bottom w:val="single" w:sz="4" w:space="0" w:color="auto"/>
              <w:right w:val="single" w:sz="4" w:space="0" w:color="auto"/>
            </w:tcBorders>
            <w:shd w:val="clear" w:color="auto" w:fill="D5DCE4" w:themeFill="text2" w:themeFillTint="33"/>
            <w:vAlign w:val="center"/>
            <w:hideMark/>
          </w:tcPr>
          <w:p w14:paraId="0A96E41D" w14:textId="77777777" w:rsidR="00B63B71" w:rsidRDefault="00B63B71" w:rsidP="00AD13B5">
            <w:pPr>
              <w:keepNext/>
              <w:keepLines/>
              <w:spacing w:after="0"/>
              <w:jc w:val="center"/>
              <w:rPr>
                <w:rFonts w:cs="Arial"/>
              </w:rPr>
            </w:pPr>
            <w:r>
              <w:rPr>
                <w:color w:val="000000"/>
                <w:sz w:val="18"/>
                <w:szCs w:val="18"/>
              </w:rPr>
              <w:t>System BW [MHz]</w:t>
            </w:r>
          </w:p>
        </w:tc>
        <w:tc>
          <w:tcPr>
            <w:tcW w:w="863" w:type="dxa"/>
            <w:tcBorders>
              <w:top w:val="doub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59B9D299" w14:textId="77777777" w:rsidR="00B63B71" w:rsidRDefault="00B63B71" w:rsidP="00AD13B5">
            <w:pPr>
              <w:keepNext/>
              <w:keepLines/>
              <w:spacing w:after="0"/>
              <w:jc w:val="center"/>
              <w:rPr>
                <w:rFonts w:cs="Arial"/>
              </w:rPr>
            </w:pPr>
            <w:r>
              <w:rPr>
                <w:color w:val="000000"/>
                <w:sz w:val="18"/>
                <w:szCs w:val="18"/>
              </w:rPr>
              <w:t>Total number of PRBs</w:t>
            </w:r>
          </w:p>
        </w:tc>
        <w:tc>
          <w:tcPr>
            <w:tcW w:w="677" w:type="dxa"/>
            <w:tcBorders>
              <w:top w:val="double" w:sz="4" w:space="0" w:color="auto"/>
              <w:left w:val="single" w:sz="4" w:space="0" w:color="auto"/>
              <w:right w:val="single" w:sz="4" w:space="0" w:color="auto"/>
            </w:tcBorders>
            <w:shd w:val="clear" w:color="auto" w:fill="D5DCE4" w:themeFill="text2" w:themeFillTint="33"/>
            <w:vAlign w:val="center"/>
          </w:tcPr>
          <w:p w14:paraId="1BE0A436" w14:textId="7E7C7108" w:rsidR="00B63B71" w:rsidRDefault="00B63B71" w:rsidP="00B63B71">
            <w:pPr>
              <w:keepNext/>
              <w:keepLines/>
              <w:spacing w:after="0"/>
              <w:jc w:val="center"/>
              <w:rPr>
                <w:color w:val="000000"/>
                <w:sz w:val="18"/>
                <w:szCs w:val="18"/>
              </w:rPr>
            </w:pPr>
            <w:r>
              <w:rPr>
                <w:color w:val="000000"/>
                <w:sz w:val="18"/>
                <w:szCs w:val="18"/>
              </w:rPr>
              <w:t>RBG size</w:t>
            </w:r>
          </w:p>
        </w:tc>
        <w:tc>
          <w:tcPr>
            <w:tcW w:w="818" w:type="dxa"/>
            <w:tcBorders>
              <w:top w:val="double" w:sz="4" w:space="0" w:color="auto"/>
              <w:left w:val="single" w:sz="4" w:space="0" w:color="auto"/>
              <w:bottom w:val="single" w:sz="4" w:space="0" w:color="auto"/>
              <w:right w:val="double" w:sz="4" w:space="0" w:color="auto"/>
            </w:tcBorders>
            <w:shd w:val="clear" w:color="auto" w:fill="D5DCE4" w:themeFill="text2" w:themeFillTint="33"/>
            <w:vAlign w:val="center"/>
            <w:hideMark/>
          </w:tcPr>
          <w:p w14:paraId="48D11BE9" w14:textId="129BECE0" w:rsidR="00B63B71" w:rsidRDefault="00B63B71" w:rsidP="00AD13B5">
            <w:pPr>
              <w:keepNext/>
              <w:keepLines/>
              <w:spacing w:after="0"/>
              <w:jc w:val="center"/>
              <w:rPr>
                <w:rFonts w:cs="Arial"/>
              </w:rPr>
            </w:pPr>
            <w:r>
              <w:rPr>
                <w:color w:val="000000"/>
                <w:sz w:val="18"/>
                <w:szCs w:val="18"/>
              </w:rPr>
              <w:t>Number of NB</w:t>
            </w:r>
          </w:p>
        </w:tc>
        <w:tc>
          <w:tcPr>
            <w:tcW w:w="6167" w:type="dxa"/>
            <w:gridSpan w:val="3"/>
            <w:tcBorders>
              <w:top w:val="double" w:sz="4" w:space="0" w:color="auto"/>
              <w:left w:val="double" w:sz="4" w:space="0" w:color="auto"/>
              <w:right w:val="double" w:sz="4" w:space="0" w:color="auto"/>
            </w:tcBorders>
            <w:shd w:val="clear" w:color="auto" w:fill="D5DCE4" w:themeFill="text2" w:themeFillTint="33"/>
            <w:vAlign w:val="center"/>
            <w:hideMark/>
          </w:tcPr>
          <w:p w14:paraId="19289BCE" w14:textId="7604A249" w:rsidR="00B63B71" w:rsidRDefault="00B63B71" w:rsidP="00AD13B5">
            <w:pPr>
              <w:keepNext/>
              <w:keepLines/>
              <w:spacing w:after="0"/>
              <w:jc w:val="center"/>
              <w:rPr>
                <w:rFonts w:cs="Arial"/>
              </w:rPr>
            </w:pPr>
            <w:r>
              <w:rPr>
                <w:color w:val="000000"/>
                <w:sz w:val="18"/>
                <w:szCs w:val="18"/>
              </w:rPr>
              <w:t>Effect of RRC configured shift of narrowband</w:t>
            </w:r>
          </w:p>
        </w:tc>
      </w:tr>
      <w:tr w:rsidR="00B63B71" w14:paraId="38AC5520" w14:textId="77777777" w:rsidTr="00AF08C1">
        <w:trPr>
          <w:jc w:val="center"/>
        </w:trPr>
        <w:tc>
          <w:tcPr>
            <w:tcW w:w="816" w:type="dxa"/>
            <w:tcBorders>
              <w:top w:val="single" w:sz="4" w:space="0" w:color="auto"/>
              <w:left w:val="double" w:sz="4" w:space="0" w:color="auto"/>
              <w:bottom w:val="single" w:sz="4" w:space="0" w:color="auto"/>
              <w:right w:val="single" w:sz="4" w:space="0" w:color="auto"/>
            </w:tcBorders>
            <w:vAlign w:val="center"/>
            <w:hideMark/>
          </w:tcPr>
          <w:p w14:paraId="2BB1CF74" w14:textId="77777777" w:rsidR="00B63B71" w:rsidRDefault="00B63B71" w:rsidP="00B63B71">
            <w:pPr>
              <w:keepNext/>
              <w:keepLines/>
              <w:spacing w:after="0"/>
              <w:jc w:val="center"/>
              <w:rPr>
                <w:rFonts w:cs="Arial"/>
              </w:rPr>
            </w:pPr>
            <w:r>
              <w:rPr>
                <w:color w:val="000000"/>
                <w:sz w:val="18"/>
                <w:szCs w:val="18"/>
              </w:rPr>
              <w:t>1.4</w:t>
            </w:r>
          </w:p>
        </w:tc>
        <w:tc>
          <w:tcPr>
            <w:tcW w:w="863" w:type="dxa"/>
            <w:tcBorders>
              <w:top w:val="single" w:sz="4" w:space="0" w:color="auto"/>
              <w:left w:val="single" w:sz="4" w:space="0" w:color="auto"/>
              <w:bottom w:val="single" w:sz="4" w:space="0" w:color="auto"/>
              <w:right w:val="single" w:sz="4" w:space="0" w:color="auto"/>
            </w:tcBorders>
            <w:vAlign w:val="center"/>
            <w:hideMark/>
          </w:tcPr>
          <w:p w14:paraId="5F706A55" w14:textId="77777777" w:rsidR="00B63B71" w:rsidRDefault="00B63B71" w:rsidP="00B63B71">
            <w:pPr>
              <w:keepNext/>
              <w:keepLines/>
              <w:spacing w:after="0"/>
              <w:jc w:val="center"/>
              <w:rPr>
                <w:rFonts w:cs="Arial"/>
              </w:rPr>
            </w:pPr>
            <w:r>
              <w:rPr>
                <w:color w:val="000000"/>
                <w:sz w:val="18"/>
                <w:szCs w:val="18"/>
              </w:rPr>
              <w:t>6</w:t>
            </w:r>
          </w:p>
        </w:tc>
        <w:tc>
          <w:tcPr>
            <w:tcW w:w="677" w:type="dxa"/>
            <w:tcBorders>
              <w:top w:val="single" w:sz="4" w:space="0" w:color="auto"/>
              <w:left w:val="single" w:sz="4" w:space="0" w:color="auto"/>
              <w:bottom w:val="single" w:sz="4" w:space="0" w:color="auto"/>
              <w:right w:val="single" w:sz="4" w:space="0" w:color="auto"/>
            </w:tcBorders>
            <w:vAlign w:val="center"/>
          </w:tcPr>
          <w:p w14:paraId="1BCA3440" w14:textId="1A4E4AA6" w:rsidR="00B63B71" w:rsidRDefault="00B63B71" w:rsidP="00B63B71">
            <w:pPr>
              <w:keepNext/>
              <w:keepLines/>
              <w:spacing w:after="0"/>
              <w:jc w:val="center"/>
              <w:rPr>
                <w:color w:val="000000"/>
                <w:sz w:val="18"/>
                <w:szCs w:val="18"/>
              </w:rPr>
            </w:pPr>
            <w:r>
              <w:rPr>
                <w:color w:val="000000"/>
                <w:sz w:val="18"/>
                <w:szCs w:val="18"/>
              </w:rPr>
              <w:t>1</w:t>
            </w:r>
          </w:p>
        </w:tc>
        <w:tc>
          <w:tcPr>
            <w:tcW w:w="818" w:type="dxa"/>
            <w:tcBorders>
              <w:top w:val="single" w:sz="4" w:space="0" w:color="auto"/>
              <w:left w:val="single" w:sz="4" w:space="0" w:color="auto"/>
              <w:bottom w:val="single" w:sz="4" w:space="0" w:color="auto"/>
              <w:right w:val="double" w:sz="4" w:space="0" w:color="auto"/>
            </w:tcBorders>
            <w:vAlign w:val="center"/>
            <w:hideMark/>
          </w:tcPr>
          <w:p w14:paraId="76AC2CDF" w14:textId="2964D19D" w:rsidR="00B63B71" w:rsidRDefault="00B63B71" w:rsidP="00B63B71">
            <w:pPr>
              <w:keepNext/>
              <w:keepLines/>
              <w:spacing w:after="0"/>
              <w:jc w:val="center"/>
              <w:rPr>
                <w:rFonts w:cs="Arial"/>
              </w:rPr>
            </w:pPr>
            <w:r>
              <w:rPr>
                <w:color w:val="000000"/>
                <w:sz w:val="18"/>
                <w:szCs w:val="18"/>
              </w:rPr>
              <w:t>1</w:t>
            </w:r>
          </w:p>
        </w:tc>
        <w:tc>
          <w:tcPr>
            <w:tcW w:w="6167" w:type="dxa"/>
            <w:gridSpan w:val="3"/>
            <w:tcBorders>
              <w:top w:val="single" w:sz="4" w:space="0" w:color="auto"/>
              <w:left w:val="double" w:sz="4" w:space="0" w:color="auto"/>
              <w:bottom w:val="single" w:sz="4" w:space="0" w:color="auto"/>
              <w:right w:val="double" w:sz="4" w:space="0" w:color="auto"/>
            </w:tcBorders>
            <w:vAlign w:val="center"/>
            <w:hideMark/>
          </w:tcPr>
          <w:p w14:paraId="464259BA" w14:textId="7118F205" w:rsidR="00B63B71" w:rsidRPr="003B6794" w:rsidRDefault="00B63B71" w:rsidP="00B63B71">
            <w:pPr>
              <w:keepNext/>
              <w:keepLines/>
              <w:spacing w:after="0"/>
              <w:jc w:val="center"/>
              <w:rPr>
                <w:rFonts w:cs="Arial"/>
                <w:sz w:val="18"/>
                <w:szCs w:val="18"/>
              </w:rPr>
            </w:pPr>
            <w:r w:rsidRPr="003B6794">
              <w:rPr>
                <w:sz w:val="18"/>
                <w:szCs w:val="18"/>
              </w:rPr>
              <w:t>None</w:t>
            </w:r>
          </w:p>
        </w:tc>
      </w:tr>
      <w:tr w:rsidR="00B63B71" w14:paraId="2463E6D3" w14:textId="77777777" w:rsidTr="00AF08C1">
        <w:trPr>
          <w:jc w:val="center"/>
        </w:trPr>
        <w:tc>
          <w:tcPr>
            <w:tcW w:w="816" w:type="dxa"/>
            <w:tcBorders>
              <w:top w:val="single" w:sz="4" w:space="0" w:color="auto"/>
              <w:left w:val="double" w:sz="4" w:space="0" w:color="auto"/>
              <w:bottom w:val="single" w:sz="4" w:space="0" w:color="auto"/>
              <w:right w:val="single" w:sz="4" w:space="0" w:color="auto"/>
            </w:tcBorders>
            <w:vAlign w:val="center"/>
            <w:hideMark/>
          </w:tcPr>
          <w:p w14:paraId="464A86EA" w14:textId="77777777" w:rsidR="00B63B71" w:rsidRDefault="00B63B71" w:rsidP="00B63B71">
            <w:pPr>
              <w:keepNext/>
              <w:keepLines/>
              <w:spacing w:after="0"/>
              <w:jc w:val="center"/>
              <w:rPr>
                <w:rFonts w:cs="Arial"/>
              </w:rPr>
            </w:pPr>
            <w:r>
              <w:rPr>
                <w:color w:val="000000"/>
                <w:sz w:val="18"/>
                <w:szCs w:val="18"/>
              </w:rPr>
              <w:t>3</w:t>
            </w:r>
          </w:p>
        </w:tc>
        <w:tc>
          <w:tcPr>
            <w:tcW w:w="863" w:type="dxa"/>
            <w:tcBorders>
              <w:top w:val="single" w:sz="4" w:space="0" w:color="auto"/>
              <w:left w:val="single" w:sz="4" w:space="0" w:color="auto"/>
              <w:bottom w:val="single" w:sz="4" w:space="0" w:color="auto"/>
              <w:right w:val="single" w:sz="4" w:space="0" w:color="auto"/>
            </w:tcBorders>
            <w:vAlign w:val="center"/>
            <w:hideMark/>
          </w:tcPr>
          <w:p w14:paraId="34269421" w14:textId="77777777" w:rsidR="00B63B71" w:rsidRDefault="00B63B71" w:rsidP="00B63B71">
            <w:pPr>
              <w:keepNext/>
              <w:keepLines/>
              <w:spacing w:after="0"/>
              <w:jc w:val="center"/>
              <w:rPr>
                <w:rFonts w:cs="Arial"/>
              </w:rPr>
            </w:pPr>
            <w:r>
              <w:rPr>
                <w:color w:val="000000"/>
                <w:sz w:val="18"/>
                <w:szCs w:val="18"/>
              </w:rPr>
              <w:t>15</w:t>
            </w:r>
          </w:p>
        </w:tc>
        <w:tc>
          <w:tcPr>
            <w:tcW w:w="677" w:type="dxa"/>
            <w:tcBorders>
              <w:top w:val="single" w:sz="4" w:space="0" w:color="auto"/>
              <w:left w:val="single" w:sz="4" w:space="0" w:color="auto"/>
              <w:bottom w:val="single" w:sz="4" w:space="0" w:color="auto"/>
              <w:right w:val="single" w:sz="4" w:space="0" w:color="auto"/>
            </w:tcBorders>
            <w:vAlign w:val="center"/>
          </w:tcPr>
          <w:p w14:paraId="2B389B25" w14:textId="48927C73" w:rsidR="00B63B71" w:rsidRDefault="00B63B71" w:rsidP="00B63B71">
            <w:pPr>
              <w:keepNext/>
              <w:keepLines/>
              <w:spacing w:after="0"/>
              <w:jc w:val="center"/>
              <w:rPr>
                <w:color w:val="000000"/>
                <w:sz w:val="18"/>
                <w:szCs w:val="18"/>
              </w:rPr>
            </w:pPr>
            <w:r>
              <w:rPr>
                <w:color w:val="000000"/>
                <w:sz w:val="18"/>
                <w:szCs w:val="18"/>
              </w:rPr>
              <w:t>2</w:t>
            </w:r>
          </w:p>
        </w:tc>
        <w:tc>
          <w:tcPr>
            <w:tcW w:w="818" w:type="dxa"/>
            <w:tcBorders>
              <w:top w:val="single" w:sz="4" w:space="0" w:color="auto"/>
              <w:left w:val="single" w:sz="4" w:space="0" w:color="auto"/>
              <w:bottom w:val="single" w:sz="4" w:space="0" w:color="auto"/>
              <w:right w:val="double" w:sz="4" w:space="0" w:color="auto"/>
            </w:tcBorders>
            <w:vAlign w:val="center"/>
            <w:hideMark/>
          </w:tcPr>
          <w:p w14:paraId="470D76A7" w14:textId="37434847" w:rsidR="00B63B71" w:rsidRPr="00B63B71" w:rsidRDefault="00B63B71" w:rsidP="00B63B71">
            <w:pPr>
              <w:keepNext/>
              <w:keepLines/>
              <w:spacing w:after="0"/>
              <w:jc w:val="center"/>
              <w:rPr>
                <w:rFonts w:cs="Arial"/>
                <w:sz w:val="16"/>
              </w:rPr>
            </w:pPr>
            <w:r w:rsidRPr="00B63B71">
              <w:rPr>
                <w:color w:val="000000"/>
                <w:sz w:val="16"/>
                <w:szCs w:val="18"/>
              </w:rPr>
              <w:t>2</w:t>
            </w:r>
          </w:p>
        </w:tc>
        <w:tc>
          <w:tcPr>
            <w:tcW w:w="3048" w:type="dxa"/>
            <w:tcBorders>
              <w:top w:val="single" w:sz="4" w:space="0" w:color="auto"/>
              <w:left w:val="double" w:sz="4" w:space="0" w:color="auto"/>
              <w:bottom w:val="single" w:sz="4" w:space="0" w:color="auto"/>
              <w:right w:val="single" w:sz="4" w:space="0" w:color="auto"/>
            </w:tcBorders>
            <w:vAlign w:val="center"/>
            <w:hideMark/>
          </w:tcPr>
          <w:p w14:paraId="6A8DB524" w14:textId="09DFF05D" w:rsidR="00B63B71" w:rsidRPr="003B6794" w:rsidRDefault="00B63B71" w:rsidP="00B63B71">
            <w:pPr>
              <w:keepNext/>
              <w:keepLines/>
              <w:spacing w:after="0"/>
              <w:jc w:val="center"/>
              <w:rPr>
                <w:rFonts w:cs="Arial"/>
                <w:sz w:val="18"/>
                <w:szCs w:val="18"/>
              </w:rPr>
            </w:pPr>
            <w:r w:rsidRPr="003B6794">
              <w:rPr>
                <w:color w:val="000000"/>
                <w:sz w:val="18"/>
                <w:szCs w:val="18"/>
              </w:rPr>
              <w:t xml:space="preserve">Lower half of </w:t>
            </w:r>
            <w:r w:rsidR="008A62A1" w:rsidRPr="003B6794">
              <w:rPr>
                <w:color w:val="000000"/>
                <w:sz w:val="18"/>
                <w:szCs w:val="18"/>
              </w:rPr>
              <w:t xml:space="preserve">group </w:t>
            </w:r>
            <w:r w:rsidR="005F2192" w:rsidRPr="003B6794">
              <w:rPr>
                <w:color w:val="000000"/>
                <w:sz w:val="18"/>
                <w:szCs w:val="18"/>
              </w:rPr>
              <w:t xml:space="preserve">of </w:t>
            </w:r>
            <w:r w:rsidRPr="003B6794">
              <w:rPr>
                <w:color w:val="000000"/>
                <w:sz w:val="18"/>
                <w:szCs w:val="18"/>
              </w:rPr>
              <w:t>NB</w:t>
            </w:r>
            <w:r w:rsidR="008A62A1" w:rsidRPr="003B6794">
              <w:rPr>
                <w:color w:val="000000"/>
                <w:sz w:val="18"/>
                <w:szCs w:val="18"/>
              </w:rPr>
              <w:t>s</w:t>
            </w:r>
            <w:r w:rsidRPr="003B6794">
              <w:rPr>
                <w:color w:val="000000"/>
                <w:sz w:val="18"/>
                <w:szCs w:val="18"/>
              </w:rPr>
              <w:t xml:space="preserve">: </w:t>
            </w:r>
            <w:r w:rsidR="005103F9" w:rsidRPr="003B6794">
              <w:rPr>
                <w:color w:val="000000"/>
                <w:sz w:val="18"/>
                <w:szCs w:val="18"/>
              </w:rPr>
              <w:br/>
            </w:r>
            <w:r w:rsidRPr="003B6794">
              <w:rPr>
                <w:color w:val="000000"/>
                <w:sz w:val="18"/>
                <w:szCs w:val="18"/>
              </w:rPr>
              <w:t>Shift 1 PRB towards center</w:t>
            </w:r>
          </w:p>
        </w:tc>
        <w:tc>
          <w:tcPr>
            <w:tcW w:w="3119" w:type="dxa"/>
            <w:gridSpan w:val="2"/>
            <w:tcBorders>
              <w:top w:val="single" w:sz="4" w:space="0" w:color="auto"/>
              <w:left w:val="single" w:sz="4" w:space="0" w:color="auto"/>
              <w:bottom w:val="single" w:sz="4" w:space="0" w:color="auto"/>
              <w:right w:val="double" w:sz="4" w:space="0" w:color="auto"/>
            </w:tcBorders>
            <w:vAlign w:val="center"/>
            <w:hideMark/>
          </w:tcPr>
          <w:p w14:paraId="596B0310" w14:textId="0E5C2AA3" w:rsidR="00B63B71" w:rsidRPr="003B6794" w:rsidRDefault="00B63B71" w:rsidP="00B63B71">
            <w:pPr>
              <w:keepNext/>
              <w:keepLines/>
              <w:spacing w:after="0"/>
              <w:jc w:val="center"/>
              <w:rPr>
                <w:rFonts w:cs="Arial"/>
                <w:sz w:val="18"/>
                <w:szCs w:val="18"/>
              </w:rPr>
            </w:pPr>
            <w:r w:rsidRPr="003B6794">
              <w:rPr>
                <w:sz w:val="18"/>
                <w:szCs w:val="18"/>
              </w:rPr>
              <w:t>Upper half of</w:t>
            </w:r>
            <w:r w:rsidR="008A62A1" w:rsidRPr="003B6794">
              <w:rPr>
                <w:sz w:val="18"/>
                <w:szCs w:val="18"/>
              </w:rPr>
              <w:t xml:space="preserve"> groups of NBs</w:t>
            </w:r>
            <w:r w:rsidRPr="003B6794">
              <w:rPr>
                <w:sz w:val="18"/>
                <w:szCs w:val="18"/>
              </w:rPr>
              <w:t xml:space="preserve">: </w:t>
            </w:r>
            <w:r w:rsidR="005103F9" w:rsidRPr="003B6794">
              <w:rPr>
                <w:sz w:val="18"/>
                <w:szCs w:val="18"/>
              </w:rPr>
              <w:br/>
            </w:r>
            <w:r w:rsidRPr="003B6794">
              <w:rPr>
                <w:sz w:val="18"/>
                <w:szCs w:val="18"/>
              </w:rPr>
              <w:t>None</w:t>
            </w:r>
          </w:p>
        </w:tc>
      </w:tr>
      <w:tr w:rsidR="00B63B71" w14:paraId="22D5852E" w14:textId="77777777" w:rsidTr="00620C3D">
        <w:trPr>
          <w:jc w:val="center"/>
        </w:trPr>
        <w:tc>
          <w:tcPr>
            <w:tcW w:w="816" w:type="dxa"/>
            <w:tcBorders>
              <w:top w:val="single" w:sz="4" w:space="0" w:color="auto"/>
              <w:left w:val="double" w:sz="4" w:space="0" w:color="auto"/>
              <w:bottom w:val="single" w:sz="4" w:space="0" w:color="auto"/>
              <w:right w:val="single" w:sz="4" w:space="0" w:color="auto"/>
            </w:tcBorders>
            <w:vAlign w:val="center"/>
            <w:hideMark/>
          </w:tcPr>
          <w:p w14:paraId="279AF5A2" w14:textId="77777777" w:rsidR="00B63B71" w:rsidRDefault="00B63B71" w:rsidP="00B63B71">
            <w:pPr>
              <w:keepNext/>
              <w:keepLines/>
              <w:spacing w:after="0"/>
              <w:jc w:val="center"/>
              <w:rPr>
                <w:rFonts w:cs="Arial"/>
              </w:rPr>
            </w:pPr>
            <w:r>
              <w:rPr>
                <w:color w:val="000000"/>
                <w:sz w:val="18"/>
                <w:szCs w:val="18"/>
              </w:rPr>
              <w:t>5</w:t>
            </w:r>
          </w:p>
        </w:tc>
        <w:tc>
          <w:tcPr>
            <w:tcW w:w="863" w:type="dxa"/>
            <w:tcBorders>
              <w:top w:val="single" w:sz="4" w:space="0" w:color="auto"/>
              <w:left w:val="single" w:sz="4" w:space="0" w:color="auto"/>
              <w:bottom w:val="single" w:sz="4" w:space="0" w:color="auto"/>
              <w:right w:val="single" w:sz="4" w:space="0" w:color="auto"/>
            </w:tcBorders>
            <w:vAlign w:val="center"/>
            <w:hideMark/>
          </w:tcPr>
          <w:p w14:paraId="7ECE1E8A" w14:textId="77777777" w:rsidR="00B63B71" w:rsidRDefault="00B63B71" w:rsidP="00B63B71">
            <w:pPr>
              <w:keepNext/>
              <w:keepLines/>
              <w:spacing w:after="0"/>
              <w:jc w:val="center"/>
              <w:rPr>
                <w:rFonts w:cs="Arial"/>
              </w:rPr>
            </w:pPr>
            <w:r>
              <w:rPr>
                <w:color w:val="000000"/>
                <w:sz w:val="18"/>
                <w:szCs w:val="18"/>
              </w:rPr>
              <w:t>25</w:t>
            </w:r>
          </w:p>
        </w:tc>
        <w:tc>
          <w:tcPr>
            <w:tcW w:w="677" w:type="dxa"/>
            <w:tcBorders>
              <w:top w:val="single" w:sz="4" w:space="0" w:color="auto"/>
              <w:left w:val="single" w:sz="4" w:space="0" w:color="auto"/>
              <w:bottom w:val="single" w:sz="4" w:space="0" w:color="auto"/>
              <w:right w:val="single" w:sz="4" w:space="0" w:color="auto"/>
            </w:tcBorders>
            <w:vAlign w:val="center"/>
          </w:tcPr>
          <w:p w14:paraId="06F34A61" w14:textId="36BD1FD2" w:rsidR="00B63B71" w:rsidRDefault="00B63B71" w:rsidP="00B63B71">
            <w:pPr>
              <w:keepNext/>
              <w:keepLines/>
              <w:spacing w:after="0"/>
              <w:jc w:val="center"/>
              <w:rPr>
                <w:color w:val="000000"/>
                <w:sz w:val="18"/>
                <w:szCs w:val="18"/>
              </w:rPr>
            </w:pPr>
            <w:r>
              <w:rPr>
                <w:color w:val="000000"/>
                <w:sz w:val="18"/>
                <w:szCs w:val="18"/>
              </w:rPr>
              <w:t>2</w:t>
            </w:r>
          </w:p>
        </w:tc>
        <w:tc>
          <w:tcPr>
            <w:tcW w:w="818" w:type="dxa"/>
            <w:tcBorders>
              <w:top w:val="single" w:sz="4" w:space="0" w:color="auto"/>
              <w:left w:val="single" w:sz="4" w:space="0" w:color="auto"/>
              <w:bottom w:val="single" w:sz="4" w:space="0" w:color="auto"/>
              <w:right w:val="double" w:sz="4" w:space="0" w:color="auto"/>
            </w:tcBorders>
            <w:vAlign w:val="center"/>
            <w:hideMark/>
          </w:tcPr>
          <w:p w14:paraId="44769A68" w14:textId="33FAF19E" w:rsidR="00B63B71" w:rsidRPr="00B63B71" w:rsidRDefault="00B63B71" w:rsidP="00B63B71">
            <w:pPr>
              <w:keepNext/>
              <w:keepLines/>
              <w:spacing w:after="0"/>
              <w:jc w:val="center"/>
              <w:rPr>
                <w:rFonts w:cs="Arial"/>
                <w:sz w:val="16"/>
              </w:rPr>
            </w:pPr>
            <w:r w:rsidRPr="00B63B71">
              <w:rPr>
                <w:sz w:val="16"/>
              </w:rPr>
              <w:t>4</w:t>
            </w:r>
          </w:p>
        </w:tc>
        <w:tc>
          <w:tcPr>
            <w:tcW w:w="3048" w:type="dxa"/>
            <w:tcBorders>
              <w:top w:val="single" w:sz="4" w:space="0" w:color="auto"/>
              <w:left w:val="double" w:sz="4" w:space="0" w:color="auto"/>
              <w:bottom w:val="single" w:sz="4" w:space="0" w:color="auto"/>
              <w:right w:val="single" w:sz="4" w:space="0" w:color="auto"/>
            </w:tcBorders>
            <w:vAlign w:val="center"/>
            <w:hideMark/>
          </w:tcPr>
          <w:p w14:paraId="150E4E71" w14:textId="337A96EE" w:rsidR="00B63B71" w:rsidRPr="003B6794" w:rsidRDefault="00B63B71" w:rsidP="00B63B71">
            <w:pPr>
              <w:keepNext/>
              <w:keepLines/>
              <w:spacing w:after="0"/>
              <w:jc w:val="center"/>
              <w:rPr>
                <w:rFonts w:cs="Arial"/>
                <w:sz w:val="18"/>
                <w:szCs w:val="18"/>
              </w:rPr>
            </w:pPr>
            <w:r w:rsidRPr="003B6794">
              <w:rPr>
                <w:color w:val="000000"/>
                <w:sz w:val="18"/>
                <w:szCs w:val="18"/>
              </w:rPr>
              <w:t xml:space="preserve">Lower half </w:t>
            </w:r>
            <w:r w:rsidR="005F2192" w:rsidRPr="003B6794">
              <w:rPr>
                <w:color w:val="000000"/>
                <w:sz w:val="18"/>
                <w:szCs w:val="18"/>
              </w:rPr>
              <w:t xml:space="preserve">of </w:t>
            </w:r>
            <w:r w:rsidR="008A62A1" w:rsidRPr="003B6794">
              <w:rPr>
                <w:color w:val="000000"/>
                <w:sz w:val="18"/>
                <w:szCs w:val="18"/>
              </w:rPr>
              <w:t xml:space="preserve">group </w:t>
            </w:r>
            <w:r w:rsidRPr="003B6794">
              <w:rPr>
                <w:color w:val="000000"/>
                <w:sz w:val="18"/>
                <w:szCs w:val="18"/>
              </w:rPr>
              <w:t>of NB</w:t>
            </w:r>
            <w:r w:rsidR="007274B5" w:rsidRPr="003B6794">
              <w:rPr>
                <w:color w:val="000000"/>
                <w:sz w:val="18"/>
                <w:szCs w:val="18"/>
              </w:rPr>
              <w:t>s</w:t>
            </w:r>
            <w:r w:rsidRPr="003B6794">
              <w:rPr>
                <w:color w:val="000000"/>
                <w:sz w:val="18"/>
                <w:szCs w:val="18"/>
              </w:rPr>
              <w:t xml:space="preserve">: </w:t>
            </w:r>
            <w:r w:rsidR="005103F9" w:rsidRPr="003B6794">
              <w:rPr>
                <w:color w:val="000000"/>
                <w:sz w:val="18"/>
                <w:szCs w:val="18"/>
              </w:rPr>
              <w:br/>
            </w:r>
            <w:r w:rsidRPr="003B6794">
              <w:rPr>
                <w:color w:val="000000"/>
                <w:sz w:val="18"/>
                <w:szCs w:val="18"/>
              </w:rPr>
              <w:t>None</w:t>
            </w:r>
          </w:p>
        </w:tc>
        <w:tc>
          <w:tcPr>
            <w:tcW w:w="3119" w:type="dxa"/>
            <w:gridSpan w:val="2"/>
            <w:tcBorders>
              <w:top w:val="single" w:sz="4" w:space="0" w:color="auto"/>
              <w:left w:val="single" w:sz="4" w:space="0" w:color="auto"/>
              <w:bottom w:val="single" w:sz="4" w:space="0" w:color="auto"/>
              <w:right w:val="double" w:sz="4" w:space="0" w:color="auto"/>
            </w:tcBorders>
            <w:vAlign w:val="center"/>
            <w:hideMark/>
          </w:tcPr>
          <w:p w14:paraId="60E4038A" w14:textId="555DE7BD" w:rsidR="00B63B71" w:rsidRPr="003B6794" w:rsidRDefault="00B63B71" w:rsidP="00B63B71">
            <w:pPr>
              <w:keepNext/>
              <w:keepLines/>
              <w:spacing w:after="0"/>
              <w:jc w:val="center"/>
              <w:rPr>
                <w:rFonts w:cs="Arial"/>
                <w:sz w:val="18"/>
                <w:szCs w:val="18"/>
              </w:rPr>
            </w:pPr>
            <w:r w:rsidRPr="003B6794">
              <w:rPr>
                <w:sz w:val="18"/>
                <w:szCs w:val="18"/>
              </w:rPr>
              <w:t xml:space="preserve">Upper half </w:t>
            </w:r>
            <w:r w:rsidR="005F2192" w:rsidRPr="003B6794">
              <w:rPr>
                <w:sz w:val="18"/>
                <w:szCs w:val="18"/>
              </w:rPr>
              <w:t xml:space="preserve">of </w:t>
            </w:r>
            <w:r w:rsidR="008A62A1" w:rsidRPr="003B6794">
              <w:rPr>
                <w:sz w:val="18"/>
                <w:szCs w:val="18"/>
              </w:rPr>
              <w:t xml:space="preserve">group </w:t>
            </w:r>
            <w:r w:rsidRPr="003B6794">
              <w:rPr>
                <w:sz w:val="18"/>
                <w:szCs w:val="18"/>
              </w:rPr>
              <w:t>of NB</w:t>
            </w:r>
            <w:r w:rsidR="007274B5" w:rsidRPr="003B6794">
              <w:rPr>
                <w:sz w:val="18"/>
                <w:szCs w:val="18"/>
              </w:rPr>
              <w:t>s</w:t>
            </w:r>
            <w:r w:rsidRPr="003B6794">
              <w:rPr>
                <w:sz w:val="18"/>
                <w:szCs w:val="18"/>
              </w:rPr>
              <w:t xml:space="preserve">: </w:t>
            </w:r>
            <w:r w:rsidR="005103F9" w:rsidRPr="003B6794">
              <w:rPr>
                <w:sz w:val="18"/>
                <w:szCs w:val="18"/>
              </w:rPr>
              <w:br/>
            </w:r>
            <w:r w:rsidRPr="003B6794">
              <w:rPr>
                <w:sz w:val="18"/>
                <w:szCs w:val="18"/>
              </w:rPr>
              <w:t>Shift 1 PRB towards center</w:t>
            </w:r>
          </w:p>
        </w:tc>
      </w:tr>
      <w:tr w:rsidR="00AF08C1" w14:paraId="49063BB6" w14:textId="77777777" w:rsidTr="00620C3D">
        <w:trPr>
          <w:jc w:val="center"/>
        </w:trPr>
        <w:tc>
          <w:tcPr>
            <w:tcW w:w="816" w:type="dxa"/>
            <w:tcBorders>
              <w:top w:val="single" w:sz="4" w:space="0" w:color="auto"/>
              <w:left w:val="double" w:sz="4" w:space="0" w:color="auto"/>
              <w:bottom w:val="single" w:sz="4" w:space="0" w:color="auto"/>
              <w:right w:val="single" w:sz="4" w:space="0" w:color="auto"/>
            </w:tcBorders>
            <w:vAlign w:val="center"/>
            <w:hideMark/>
          </w:tcPr>
          <w:p w14:paraId="7462ED9B" w14:textId="77777777" w:rsidR="00AF08C1" w:rsidRPr="00085148" w:rsidRDefault="00AF08C1" w:rsidP="00B63B71">
            <w:pPr>
              <w:keepNext/>
              <w:keepLines/>
              <w:spacing w:after="0"/>
              <w:jc w:val="center"/>
              <w:rPr>
                <w:rFonts w:cs="Arial"/>
              </w:rPr>
            </w:pPr>
            <w:r w:rsidRPr="00085148">
              <w:rPr>
                <w:color w:val="000000"/>
                <w:sz w:val="18"/>
                <w:szCs w:val="18"/>
              </w:rPr>
              <w:t>10</w:t>
            </w:r>
          </w:p>
        </w:tc>
        <w:tc>
          <w:tcPr>
            <w:tcW w:w="863" w:type="dxa"/>
            <w:tcBorders>
              <w:top w:val="single" w:sz="4" w:space="0" w:color="auto"/>
              <w:left w:val="single" w:sz="4" w:space="0" w:color="auto"/>
              <w:bottom w:val="single" w:sz="4" w:space="0" w:color="auto"/>
              <w:right w:val="single" w:sz="4" w:space="0" w:color="auto"/>
            </w:tcBorders>
            <w:vAlign w:val="center"/>
            <w:hideMark/>
          </w:tcPr>
          <w:p w14:paraId="1242407B" w14:textId="77777777" w:rsidR="00AF08C1" w:rsidRPr="00085148" w:rsidRDefault="00AF08C1" w:rsidP="00B63B71">
            <w:pPr>
              <w:keepNext/>
              <w:keepLines/>
              <w:spacing w:after="0"/>
              <w:jc w:val="center"/>
              <w:rPr>
                <w:rFonts w:cs="Arial"/>
              </w:rPr>
            </w:pPr>
            <w:r w:rsidRPr="00085148">
              <w:rPr>
                <w:color w:val="000000"/>
                <w:sz w:val="18"/>
                <w:szCs w:val="18"/>
              </w:rPr>
              <w:t>50</w:t>
            </w:r>
          </w:p>
        </w:tc>
        <w:tc>
          <w:tcPr>
            <w:tcW w:w="677" w:type="dxa"/>
            <w:tcBorders>
              <w:top w:val="single" w:sz="4" w:space="0" w:color="auto"/>
              <w:left w:val="single" w:sz="4" w:space="0" w:color="auto"/>
              <w:bottom w:val="single" w:sz="4" w:space="0" w:color="auto"/>
              <w:right w:val="single" w:sz="4" w:space="0" w:color="auto"/>
            </w:tcBorders>
            <w:vAlign w:val="center"/>
          </w:tcPr>
          <w:p w14:paraId="4981EE4C" w14:textId="107A7F2D" w:rsidR="00AF08C1" w:rsidRPr="00085148" w:rsidRDefault="00AF08C1" w:rsidP="00B63B71">
            <w:pPr>
              <w:keepNext/>
              <w:keepLines/>
              <w:spacing w:after="0"/>
              <w:jc w:val="center"/>
              <w:rPr>
                <w:color w:val="000000"/>
                <w:sz w:val="18"/>
                <w:szCs w:val="18"/>
              </w:rPr>
            </w:pPr>
            <w:r w:rsidRPr="00085148">
              <w:rPr>
                <w:color w:val="000000"/>
                <w:sz w:val="18"/>
                <w:szCs w:val="18"/>
              </w:rPr>
              <w:t>3</w:t>
            </w:r>
          </w:p>
        </w:tc>
        <w:tc>
          <w:tcPr>
            <w:tcW w:w="818" w:type="dxa"/>
            <w:tcBorders>
              <w:top w:val="single" w:sz="4" w:space="0" w:color="auto"/>
              <w:left w:val="single" w:sz="4" w:space="0" w:color="auto"/>
              <w:bottom w:val="single" w:sz="4" w:space="0" w:color="auto"/>
              <w:right w:val="double" w:sz="4" w:space="0" w:color="auto"/>
            </w:tcBorders>
            <w:vAlign w:val="center"/>
            <w:hideMark/>
          </w:tcPr>
          <w:p w14:paraId="12B07B30" w14:textId="300EB397" w:rsidR="00AF08C1" w:rsidRPr="00B63B71" w:rsidRDefault="00AF08C1" w:rsidP="00B63B71">
            <w:pPr>
              <w:keepNext/>
              <w:keepLines/>
              <w:spacing w:after="0"/>
              <w:jc w:val="center"/>
              <w:rPr>
                <w:rFonts w:cs="Arial"/>
                <w:sz w:val="16"/>
              </w:rPr>
            </w:pPr>
            <w:r w:rsidRPr="00B63B71">
              <w:rPr>
                <w:sz w:val="16"/>
              </w:rPr>
              <w:t>8</w:t>
            </w:r>
          </w:p>
        </w:tc>
        <w:tc>
          <w:tcPr>
            <w:tcW w:w="6167" w:type="dxa"/>
            <w:gridSpan w:val="3"/>
            <w:tcBorders>
              <w:top w:val="single" w:sz="4" w:space="0" w:color="auto"/>
              <w:left w:val="double" w:sz="4" w:space="0" w:color="auto"/>
              <w:bottom w:val="single" w:sz="4" w:space="0" w:color="auto"/>
              <w:right w:val="double" w:sz="4" w:space="0" w:color="auto"/>
            </w:tcBorders>
            <w:vAlign w:val="center"/>
            <w:hideMark/>
          </w:tcPr>
          <w:p w14:paraId="1772A560" w14:textId="1DF79F6A" w:rsidR="00AF08C1" w:rsidRPr="003B6794" w:rsidRDefault="00AF08C1" w:rsidP="00B63B71">
            <w:pPr>
              <w:keepNext/>
              <w:keepLines/>
              <w:spacing w:after="0"/>
              <w:jc w:val="center"/>
              <w:rPr>
                <w:rFonts w:cs="Arial"/>
                <w:sz w:val="18"/>
                <w:szCs w:val="18"/>
              </w:rPr>
            </w:pPr>
            <w:r w:rsidRPr="003B6794">
              <w:rPr>
                <w:sz w:val="18"/>
                <w:szCs w:val="18"/>
              </w:rPr>
              <w:t>All NB</w:t>
            </w:r>
            <w:r w:rsidR="007274B5" w:rsidRPr="003B6794">
              <w:rPr>
                <w:sz w:val="18"/>
                <w:szCs w:val="18"/>
              </w:rPr>
              <w:t>s</w:t>
            </w:r>
            <w:r w:rsidRPr="003B6794">
              <w:rPr>
                <w:sz w:val="18"/>
                <w:szCs w:val="18"/>
              </w:rPr>
              <w:t xml:space="preserve">: </w:t>
            </w:r>
            <w:r w:rsidRPr="003B6794">
              <w:rPr>
                <w:sz w:val="18"/>
                <w:szCs w:val="18"/>
              </w:rPr>
              <w:br/>
              <w:t>Shift 1 PRB towards lower PRB</w:t>
            </w:r>
          </w:p>
        </w:tc>
      </w:tr>
      <w:tr w:rsidR="00620C3D" w14:paraId="283267B7" w14:textId="77777777" w:rsidTr="00620C3D">
        <w:trPr>
          <w:trHeight w:val="70"/>
          <w:jc w:val="center"/>
        </w:trPr>
        <w:tc>
          <w:tcPr>
            <w:tcW w:w="816" w:type="dxa"/>
            <w:tcBorders>
              <w:top w:val="single" w:sz="4" w:space="0" w:color="auto"/>
              <w:left w:val="double" w:sz="4" w:space="0" w:color="auto"/>
              <w:bottom w:val="single" w:sz="4" w:space="0" w:color="auto"/>
              <w:right w:val="single" w:sz="4" w:space="0" w:color="auto"/>
            </w:tcBorders>
            <w:vAlign w:val="center"/>
            <w:hideMark/>
          </w:tcPr>
          <w:p w14:paraId="0F2DA1D7" w14:textId="77777777" w:rsidR="00620C3D" w:rsidRDefault="00620C3D" w:rsidP="00B63B71">
            <w:pPr>
              <w:keepNext/>
              <w:keepLines/>
              <w:spacing w:after="0"/>
              <w:jc w:val="center"/>
              <w:rPr>
                <w:rFonts w:cs="Arial"/>
              </w:rPr>
            </w:pPr>
            <w:r>
              <w:rPr>
                <w:color w:val="000000"/>
                <w:sz w:val="18"/>
                <w:szCs w:val="18"/>
              </w:rPr>
              <w:t>15</w:t>
            </w:r>
          </w:p>
        </w:tc>
        <w:tc>
          <w:tcPr>
            <w:tcW w:w="863" w:type="dxa"/>
            <w:tcBorders>
              <w:top w:val="single" w:sz="4" w:space="0" w:color="auto"/>
              <w:left w:val="single" w:sz="4" w:space="0" w:color="auto"/>
              <w:bottom w:val="single" w:sz="4" w:space="0" w:color="auto"/>
              <w:right w:val="single" w:sz="4" w:space="0" w:color="auto"/>
            </w:tcBorders>
            <w:vAlign w:val="center"/>
            <w:hideMark/>
          </w:tcPr>
          <w:p w14:paraId="64A67E15" w14:textId="77777777" w:rsidR="00620C3D" w:rsidRDefault="00620C3D" w:rsidP="00B63B71">
            <w:pPr>
              <w:keepNext/>
              <w:keepLines/>
              <w:spacing w:after="0"/>
              <w:jc w:val="center"/>
              <w:rPr>
                <w:rFonts w:cs="Arial"/>
              </w:rPr>
            </w:pPr>
            <w:r>
              <w:rPr>
                <w:color w:val="000000"/>
                <w:sz w:val="18"/>
                <w:szCs w:val="18"/>
              </w:rPr>
              <w:t>75</w:t>
            </w:r>
          </w:p>
        </w:tc>
        <w:tc>
          <w:tcPr>
            <w:tcW w:w="677" w:type="dxa"/>
            <w:tcBorders>
              <w:top w:val="single" w:sz="4" w:space="0" w:color="auto"/>
              <w:left w:val="single" w:sz="4" w:space="0" w:color="auto"/>
              <w:bottom w:val="single" w:sz="4" w:space="0" w:color="auto"/>
              <w:right w:val="single" w:sz="4" w:space="0" w:color="auto"/>
            </w:tcBorders>
            <w:vAlign w:val="center"/>
          </w:tcPr>
          <w:p w14:paraId="40BFBF71" w14:textId="466DAA8D" w:rsidR="00620C3D" w:rsidRDefault="00620C3D" w:rsidP="00B63B71">
            <w:pPr>
              <w:keepNext/>
              <w:keepLines/>
              <w:spacing w:after="0"/>
              <w:jc w:val="center"/>
              <w:rPr>
                <w:color w:val="000000"/>
                <w:sz w:val="18"/>
                <w:szCs w:val="18"/>
              </w:rPr>
            </w:pPr>
            <w:r>
              <w:rPr>
                <w:color w:val="000000"/>
                <w:sz w:val="18"/>
                <w:szCs w:val="18"/>
              </w:rPr>
              <w:t>4</w:t>
            </w:r>
          </w:p>
        </w:tc>
        <w:tc>
          <w:tcPr>
            <w:tcW w:w="818" w:type="dxa"/>
            <w:tcBorders>
              <w:top w:val="single" w:sz="4" w:space="0" w:color="auto"/>
              <w:left w:val="single" w:sz="4" w:space="0" w:color="auto"/>
              <w:bottom w:val="single" w:sz="4" w:space="0" w:color="auto"/>
              <w:right w:val="double" w:sz="4" w:space="0" w:color="auto"/>
            </w:tcBorders>
            <w:vAlign w:val="center"/>
            <w:hideMark/>
          </w:tcPr>
          <w:p w14:paraId="623FE8AF" w14:textId="3B7814B2" w:rsidR="00620C3D" w:rsidRPr="00B63B71" w:rsidRDefault="00620C3D" w:rsidP="00B63B71">
            <w:pPr>
              <w:keepNext/>
              <w:keepLines/>
              <w:spacing w:after="0"/>
              <w:jc w:val="center"/>
              <w:rPr>
                <w:rFonts w:cs="Arial"/>
                <w:sz w:val="16"/>
              </w:rPr>
            </w:pPr>
            <w:r w:rsidRPr="00B63B71">
              <w:rPr>
                <w:sz w:val="16"/>
              </w:rPr>
              <w:t>12</w:t>
            </w:r>
          </w:p>
        </w:tc>
        <w:tc>
          <w:tcPr>
            <w:tcW w:w="3083" w:type="dxa"/>
            <w:gridSpan w:val="2"/>
            <w:tcBorders>
              <w:top w:val="single" w:sz="4" w:space="0" w:color="auto"/>
              <w:left w:val="double" w:sz="4" w:space="0" w:color="auto"/>
              <w:bottom w:val="single" w:sz="4" w:space="0" w:color="auto"/>
              <w:right w:val="single" w:sz="4" w:space="0" w:color="auto"/>
            </w:tcBorders>
            <w:vAlign w:val="center"/>
            <w:hideMark/>
          </w:tcPr>
          <w:p w14:paraId="794B28BF" w14:textId="02462AF5" w:rsidR="00620C3D" w:rsidRPr="003B6794" w:rsidRDefault="00620C3D" w:rsidP="00B63B71">
            <w:pPr>
              <w:keepNext/>
              <w:keepLines/>
              <w:spacing w:after="0"/>
              <w:jc w:val="center"/>
              <w:rPr>
                <w:rFonts w:cs="Arial"/>
                <w:sz w:val="18"/>
                <w:szCs w:val="18"/>
              </w:rPr>
            </w:pPr>
            <w:r w:rsidRPr="003B6794">
              <w:rPr>
                <w:color w:val="000000"/>
                <w:sz w:val="18"/>
                <w:szCs w:val="18"/>
              </w:rPr>
              <w:t xml:space="preserve">Lower half </w:t>
            </w:r>
            <w:r w:rsidR="005F2192" w:rsidRPr="003B6794">
              <w:rPr>
                <w:color w:val="000000"/>
                <w:sz w:val="18"/>
                <w:szCs w:val="18"/>
              </w:rPr>
              <w:t xml:space="preserve">of </w:t>
            </w:r>
            <w:r w:rsidRPr="003B6794">
              <w:rPr>
                <w:color w:val="000000"/>
                <w:sz w:val="18"/>
                <w:szCs w:val="18"/>
              </w:rPr>
              <w:t>group of NB</w:t>
            </w:r>
            <w:r w:rsidR="007274B5" w:rsidRPr="003B6794">
              <w:rPr>
                <w:color w:val="000000"/>
                <w:sz w:val="18"/>
                <w:szCs w:val="18"/>
              </w:rPr>
              <w:t>s</w:t>
            </w:r>
            <w:r w:rsidRPr="003B6794">
              <w:rPr>
                <w:color w:val="000000"/>
                <w:sz w:val="18"/>
                <w:szCs w:val="18"/>
              </w:rPr>
              <w:t xml:space="preserve">: </w:t>
            </w:r>
            <w:r w:rsidRPr="003B6794">
              <w:rPr>
                <w:color w:val="000000"/>
                <w:sz w:val="18"/>
                <w:szCs w:val="18"/>
              </w:rPr>
              <w:br/>
            </w:r>
            <w:r w:rsidRPr="003B6794">
              <w:rPr>
                <w:sz w:val="18"/>
                <w:szCs w:val="18"/>
              </w:rPr>
              <w:t>Shift 1 PRB towards center</w:t>
            </w:r>
          </w:p>
        </w:tc>
        <w:tc>
          <w:tcPr>
            <w:tcW w:w="3084" w:type="dxa"/>
            <w:tcBorders>
              <w:top w:val="single" w:sz="4" w:space="0" w:color="auto"/>
              <w:left w:val="single" w:sz="4" w:space="0" w:color="auto"/>
              <w:bottom w:val="single" w:sz="4" w:space="0" w:color="auto"/>
              <w:right w:val="double" w:sz="4" w:space="0" w:color="auto"/>
            </w:tcBorders>
            <w:vAlign w:val="center"/>
          </w:tcPr>
          <w:p w14:paraId="307E98B5" w14:textId="76A8690B" w:rsidR="00620C3D" w:rsidRPr="003B6794" w:rsidRDefault="00620C3D" w:rsidP="00B63B71">
            <w:pPr>
              <w:keepNext/>
              <w:keepLines/>
              <w:spacing w:after="0"/>
              <w:jc w:val="center"/>
              <w:rPr>
                <w:rFonts w:cs="Arial"/>
                <w:sz w:val="18"/>
                <w:szCs w:val="18"/>
              </w:rPr>
            </w:pPr>
            <w:r w:rsidRPr="003B6794">
              <w:rPr>
                <w:color w:val="000000"/>
                <w:sz w:val="18"/>
                <w:szCs w:val="18"/>
              </w:rPr>
              <w:t>Upper half</w:t>
            </w:r>
            <w:r w:rsidR="005F2192" w:rsidRPr="003B6794">
              <w:rPr>
                <w:color w:val="000000"/>
                <w:sz w:val="18"/>
                <w:szCs w:val="18"/>
              </w:rPr>
              <w:t xml:space="preserve"> of</w:t>
            </w:r>
            <w:r w:rsidRPr="003B6794">
              <w:rPr>
                <w:color w:val="000000"/>
                <w:sz w:val="18"/>
                <w:szCs w:val="18"/>
              </w:rPr>
              <w:t xml:space="preserve"> group of NB</w:t>
            </w:r>
            <w:r w:rsidR="007274B5" w:rsidRPr="003B6794">
              <w:rPr>
                <w:color w:val="000000"/>
                <w:sz w:val="18"/>
                <w:szCs w:val="18"/>
              </w:rPr>
              <w:t>s</w:t>
            </w:r>
            <w:r w:rsidRPr="003B6794">
              <w:rPr>
                <w:color w:val="000000"/>
                <w:sz w:val="18"/>
                <w:szCs w:val="18"/>
              </w:rPr>
              <w:t xml:space="preserve">: </w:t>
            </w:r>
            <w:r w:rsidRPr="003B6794">
              <w:rPr>
                <w:color w:val="000000"/>
                <w:sz w:val="18"/>
                <w:szCs w:val="18"/>
              </w:rPr>
              <w:br/>
              <w:t>None</w:t>
            </w:r>
          </w:p>
        </w:tc>
      </w:tr>
      <w:tr w:rsidR="00AF08C1" w14:paraId="6F71471F" w14:textId="77777777" w:rsidTr="00620C3D">
        <w:trPr>
          <w:jc w:val="center"/>
        </w:trPr>
        <w:tc>
          <w:tcPr>
            <w:tcW w:w="816" w:type="dxa"/>
            <w:tcBorders>
              <w:top w:val="single" w:sz="4" w:space="0" w:color="auto"/>
              <w:left w:val="double" w:sz="4" w:space="0" w:color="auto"/>
              <w:bottom w:val="double" w:sz="4" w:space="0" w:color="auto"/>
              <w:right w:val="single" w:sz="4" w:space="0" w:color="auto"/>
            </w:tcBorders>
            <w:vAlign w:val="center"/>
            <w:hideMark/>
          </w:tcPr>
          <w:p w14:paraId="30C199F1" w14:textId="77777777" w:rsidR="00AF08C1" w:rsidRDefault="00AF08C1" w:rsidP="00B63B71">
            <w:pPr>
              <w:keepNext/>
              <w:keepLines/>
              <w:spacing w:after="0"/>
              <w:jc w:val="center"/>
              <w:rPr>
                <w:rFonts w:cs="Arial"/>
              </w:rPr>
            </w:pPr>
            <w:r>
              <w:rPr>
                <w:color w:val="000000"/>
                <w:sz w:val="18"/>
                <w:szCs w:val="18"/>
              </w:rPr>
              <w:t>20</w:t>
            </w:r>
          </w:p>
        </w:tc>
        <w:tc>
          <w:tcPr>
            <w:tcW w:w="863" w:type="dxa"/>
            <w:tcBorders>
              <w:top w:val="single" w:sz="4" w:space="0" w:color="auto"/>
              <w:left w:val="single" w:sz="4" w:space="0" w:color="auto"/>
              <w:bottom w:val="double" w:sz="4" w:space="0" w:color="auto"/>
              <w:right w:val="single" w:sz="4" w:space="0" w:color="auto"/>
            </w:tcBorders>
            <w:vAlign w:val="center"/>
            <w:hideMark/>
          </w:tcPr>
          <w:p w14:paraId="0E3B90D0" w14:textId="77777777" w:rsidR="00AF08C1" w:rsidRDefault="00AF08C1" w:rsidP="00B63B71">
            <w:pPr>
              <w:keepNext/>
              <w:keepLines/>
              <w:spacing w:after="0"/>
              <w:jc w:val="center"/>
              <w:rPr>
                <w:rFonts w:cs="Arial"/>
              </w:rPr>
            </w:pPr>
            <w:r>
              <w:rPr>
                <w:color w:val="000000"/>
                <w:sz w:val="18"/>
                <w:szCs w:val="18"/>
              </w:rPr>
              <w:t>100</w:t>
            </w:r>
          </w:p>
        </w:tc>
        <w:tc>
          <w:tcPr>
            <w:tcW w:w="677" w:type="dxa"/>
            <w:tcBorders>
              <w:top w:val="single" w:sz="4" w:space="0" w:color="auto"/>
              <w:left w:val="single" w:sz="4" w:space="0" w:color="auto"/>
              <w:bottom w:val="double" w:sz="4" w:space="0" w:color="auto"/>
              <w:right w:val="single" w:sz="4" w:space="0" w:color="auto"/>
            </w:tcBorders>
            <w:vAlign w:val="center"/>
          </w:tcPr>
          <w:p w14:paraId="48EFF39C" w14:textId="7834CED1" w:rsidR="00AF08C1" w:rsidRDefault="00AF08C1" w:rsidP="00B63B71">
            <w:pPr>
              <w:keepNext/>
              <w:keepLines/>
              <w:spacing w:after="0"/>
              <w:jc w:val="center"/>
              <w:rPr>
                <w:color w:val="000000"/>
                <w:sz w:val="18"/>
                <w:szCs w:val="18"/>
              </w:rPr>
            </w:pPr>
            <w:r>
              <w:rPr>
                <w:color w:val="000000"/>
                <w:sz w:val="18"/>
                <w:szCs w:val="18"/>
              </w:rPr>
              <w:t>4</w:t>
            </w:r>
          </w:p>
        </w:tc>
        <w:tc>
          <w:tcPr>
            <w:tcW w:w="818" w:type="dxa"/>
            <w:tcBorders>
              <w:top w:val="single" w:sz="4" w:space="0" w:color="auto"/>
              <w:left w:val="single" w:sz="4" w:space="0" w:color="auto"/>
              <w:bottom w:val="double" w:sz="4" w:space="0" w:color="auto"/>
              <w:right w:val="double" w:sz="4" w:space="0" w:color="auto"/>
            </w:tcBorders>
            <w:vAlign w:val="center"/>
            <w:hideMark/>
          </w:tcPr>
          <w:p w14:paraId="1E2F425F" w14:textId="238EADEA" w:rsidR="00AF08C1" w:rsidRPr="00B63B71" w:rsidRDefault="00AF08C1" w:rsidP="00B63B71">
            <w:pPr>
              <w:keepNext/>
              <w:keepLines/>
              <w:spacing w:after="0"/>
              <w:jc w:val="center"/>
              <w:rPr>
                <w:rFonts w:cs="Arial"/>
                <w:sz w:val="16"/>
              </w:rPr>
            </w:pPr>
            <w:r w:rsidRPr="00B63B71">
              <w:rPr>
                <w:sz w:val="16"/>
              </w:rPr>
              <w:t>16</w:t>
            </w:r>
          </w:p>
        </w:tc>
        <w:tc>
          <w:tcPr>
            <w:tcW w:w="6167" w:type="dxa"/>
            <w:gridSpan w:val="3"/>
            <w:tcBorders>
              <w:top w:val="single" w:sz="4" w:space="0" w:color="auto"/>
              <w:left w:val="double" w:sz="4" w:space="0" w:color="auto"/>
              <w:bottom w:val="double" w:sz="4" w:space="0" w:color="auto"/>
              <w:right w:val="double" w:sz="4" w:space="0" w:color="auto"/>
            </w:tcBorders>
            <w:vAlign w:val="center"/>
            <w:hideMark/>
          </w:tcPr>
          <w:p w14:paraId="161202F1" w14:textId="2589C4DE" w:rsidR="00AF08C1" w:rsidRPr="00B63B71" w:rsidRDefault="00AF08C1" w:rsidP="00B63B71">
            <w:pPr>
              <w:keepNext/>
              <w:keepLines/>
              <w:spacing w:after="0"/>
              <w:jc w:val="center"/>
              <w:rPr>
                <w:rFonts w:cs="Arial"/>
                <w:sz w:val="18"/>
                <w:szCs w:val="18"/>
              </w:rPr>
            </w:pPr>
            <w:r>
              <w:rPr>
                <w:rFonts w:cs="Arial"/>
                <w:sz w:val="18"/>
                <w:szCs w:val="18"/>
              </w:rPr>
              <w:t>None</w:t>
            </w:r>
          </w:p>
        </w:tc>
      </w:tr>
    </w:tbl>
    <w:p w14:paraId="0FAFA7D0" w14:textId="77777777" w:rsidR="00EE65B0" w:rsidRDefault="00EE65B0" w:rsidP="002572FD">
      <w:pPr>
        <w:rPr>
          <w:lang w:eastAsia="zh-CN"/>
        </w:rPr>
      </w:pPr>
    </w:p>
    <w:p w14:paraId="69A6F31C" w14:textId="27C8114A" w:rsidR="002850BB" w:rsidRDefault="002572FD" w:rsidP="00795902">
      <w:pPr>
        <w:pStyle w:val="Proposal"/>
      </w:pPr>
      <w:bookmarkStart w:id="33" w:name="_Toc510609685"/>
      <w:bookmarkStart w:id="34" w:name="_Toc510609769"/>
      <w:bookmarkStart w:id="35" w:name="_Toc510609781"/>
      <w:bookmarkStart w:id="36" w:name="_Toc510609807"/>
      <w:bookmarkStart w:id="37" w:name="_Toc510609852"/>
      <w:bookmarkStart w:id="38" w:name="_Toc510698730"/>
      <w:bookmarkStart w:id="39" w:name="_Toc510699181"/>
      <w:bookmarkStart w:id="40" w:name="_Toc510702869"/>
      <w:bookmarkStart w:id="41" w:name="_Toc510705017"/>
      <w:bookmarkStart w:id="42" w:name="_Toc510726931"/>
      <w:bookmarkStart w:id="43" w:name="_Toc510800084"/>
      <w:bookmarkStart w:id="44" w:name="_Toc510800119"/>
      <w:bookmarkStart w:id="45" w:name="_Toc510800305"/>
      <w:bookmarkStart w:id="46" w:name="_Toc510801593"/>
      <w:bookmarkStart w:id="47" w:name="_Toc513192896"/>
      <w:bookmarkStart w:id="48" w:name="_Toc513193027"/>
      <w:bookmarkStart w:id="49" w:name="_Toc513635331"/>
      <w:bookmarkStart w:id="50" w:name="_Toc513643183"/>
      <w:bookmarkStart w:id="51" w:name="_Toc513647100"/>
      <w:bookmarkStart w:id="52" w:name="_Toc513656509"/>
      <w:bookmarkStart w:id="53" w:name="_Toc513659483"/>
      <w:bookmarkStart w:id="54" w:name="_Toc513660076"/>
      <w:bookmarkStart w:id="55" w:name="_Toc513820088"/>
      <w:bookmarkStart w:id="56" w:name="_Toc513820365"/>
      <w:bookmarkStart w:id="57" w:name="_Toc513821101"/>
      <w:r>
        <w:rPr>
          <w:lang w:eastAsia="zh-CN"/>
        </w:rPr>
        <w:t>For PDSCH in CE mode B and 1.4 MHz BL/CE</w:t>
      </w:r>
      <w:r w:rsidR="00FD615D">
        <w:rPr>
          <w:lang w:eastAsia="zh-CN"/>
        </w:rPr>
        <w:t xml:space="preserve"> UE</w:t>
      </w:r>
      <w:r>
        <w:rPr>
          <w:lang w:eastAsia="zh-CN"/>
        </w:rPr>
        <w:t xml:space="preserve">, use </w:t>
      </w:r>
      <w:r w:rsidR="008174EE">
        <w:rPr>
          <w:lang w:eastAsia="zh-CN"/>
        </w:rPr>
        <w:t xml:space="preserve">an </w:t>
      </w:r>
      <w:r>
        <w:rPr>
          <w:lang w:eastAsia="zh-CN"/>
        </w:rPr>
        <w:t xml:space="preserve">RRC </w:t>
      </w:r>
      <w:r w:rsidR="008174EE">
        <w:rPr>
          <w:lang w:eastAsia="zh-CN"/>
        </w:rPr>
        <w:t>indication (ON/OFF)</w:t>
      </w:r>
      <w:r>
        <w:rPr>
          <w:lang w:eastAsia="zh-CN"/>
        </w:rPr>
        <w:t xml:space="preserve"> to semi-statically</w:t>
      </w:r>
      <w:r>
        <w:t xml:space="preserve"> adjust the starting PRB of the </w:t>
      </w:r>
      <w:r w:rsidR="009211F8">
        <w:t xml:space="preserve">resource </w:t>
      </w:r>
      <w:r>
        <w:t>allocation</w:t>
      </w:r>
      <w:r w:rsidR="00AF08C1">
        <w:t xml:space="preserve"> according to </w:t>
      </w:r>
      <w:r w:rsidR="00AF08C1">
        <w:fldChar w:fldCharType="begin"/>
      </w:r>
      <w:r w:rsidR="00AF08C1">
        <w:instrText xml:space="preserve"> REF _Ref510690121 \h </w:instrText>
      </w:r>
      <w:r w:rsidR="00AF08C1">
        <w:fldChar w:fldCharType="separate"/>
      </w:r>
      <w:r w:rsidR="00725BFD">
        <w:t xml:space="preserve">Table </w:t>
      </w:r>
      <w:r w:rsidR="00725BFD">
        <w:rPr>
          <w:noProof/>
        </w:rPr>
        <w:t>2</w:t>
      </w:r>
      <w:r w:rsidR="00AF08C1">
        <w:fldChar w:fldCharType="end"/>
      </w:r>
      <w:r>
        <w:t>.</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69E7D7FE" w14:textId="45520F1A" w:rsidR="00044B11" w:rsidRDefault="00044B11" w:rsidP="00044B11">
      <w:pPr>
        <w:pStyle w:val="Heading2"/>
      </w:pPr>
      <w:bookmarkStart w:id="58" w:name="_Ref513651021"/>
      <w:r>
        <w:t>PUSCH Resource allocation</w:t>
      </w:r>
      <w:bookmarkEnd w:id="58"/>
    </w:p>
    <w:p w14:paraId="10539E45" w14:textId="77777777" w:rsidR="00CC5BCC" w:rsidRDefault="00CC5BCC" w:rsidP="00CC5BCC">
      <w:pPr>
        <w:rPr>
          <w:lang w:val="en-GB" w:eastAsia="zh-CN"/>
        </w:rPr>
      </w:pPr>
      <w:r>
        <w:rPr>
          <w:lang w:val="en-GB" w:eastAsia="zh-CN"/>
        </w:rPr>
        <w:t>In addition to support allocating BL/CE UEs adjacent to PRACH and PUCCH resource, a flexible resource allocation for PUSCH should also consider aligning to allocations for higher category UEs.</w:t>
      </w:r>
      <w:r w:rsidRPr="00CC5BCC">
        <w:rPr>
          <w:lang w:val="en-GB" w:eastAsia="zh-CN"/>
        </w:rPr>
        <w:t xml:space="preserve"> </w:t>
      </w:r>
    </w:p>
    <w:p w14:paraId="544EB216" w14:textId="1B7CC92A" w:rsidR="00050C7F" w:rsidRDefault="00CC5BCC" w:rsidP="00CC5BCC">
      <w:pPr>
        <w:rPr>
          <w:lang w:val="en-GB" w:eastAsia="zh-CN"/>
        </w:rPr>
      </w:pPr>
      <w:r>
        <w:rPr>
          <w:lang w:val="en-GB" w:eastAsia="zh-CN"/>
        </w:rPr>
        <w:t xml:space="preserve">Higher category UEs may use uplink resource allocation type 0 or type 1 </w:t>
      </w:r>
      <w:r>
        <w:rPr>
          <w:lang w:val="en-GB" w:eastAsia="zh-CN"/>
        </w:rPr>
        <w:fldChar w:fldCharType="begin"/>
      </w:r>
      <w:r>
        <w:rPr>
          <w:lang w:val="en-GB" w:eastAsia="zh-CN"/>
        </w:rPr>
        <w:instrText xml:space="preserve"> REF _Ref505974664 \r \h </w:instrText>
      </w:r>
      <w:r>
        <w:rPr>
          <w:lang w:val="en-GB" w:eastAsia="zh-CN"/>
        </w:rPr>
      </w:r>
      <w:r>
        <w:rPr>
          <w:lang w:val="en-GB" w:eastAsia="zh-CN"/>
        </w:rPr>
        <w:fldChar w:fldCharType="separate"/>
      </w:r>
      <w:r w:rsidR="00725BFD">
        <w:rPr>
          <w:lang w:val="en-GB" w:eastAsia="zh-CN"/>
        </w:rPr>
        <w:t>[3]</w:t>
      </w:r>
      <w:r>
        <w:rPr>
          <w:lang w:val="en-GB" w:eastAsia="zh-CN"/>
        </w:rPr>
        <w:fldChar w:fldCharType="end"/>
      </w:r>
      <w:r>
        <w:rPr>
          <w:lang w:val="en-GB" w:eastAsia="zh-CN"/>
        </w:rPr>
        <w:t xml:space="preserve">. Resource allocation type 0 indicates a set of contiguously allocated resource blocks from a starting resource block selected from all </w:t>
      </w:r>
      <w:r>
        <w:rPr>
          <w:lang w:val="en-GB" w:eastAsia="zh-CN"/>
        </w:rPr>
        <w:lastRenderedPageBreak/>
        <w:t xml:space="preserve">PRBs. Resource allocation type 1 indicates </w:t>
      </w:r>
      <w:r w:rsidRPr="0021507E">
        <w:rPr>
          <w:i/>
          <w:lang w:val="en-GB" w:eastAsia="zh-CN"/>
        </w:rPr>
        <w:t>two</w:t>
      </w:r>
      <w:r>
        <w:rPr>
          <w:lang w:val="en-GB" w:eastAsia="zh-CN"/>
        </w:rPr>
        <w:t xml:space="preserve"> sets resource blocks with each set including one or more consecutive resource block groups.</w:t>
      </w:r>
      <w:r w:rsidRPr="00CC5BCC">
        <w:rPr>
          <w:lang w:val="en-GB" w:eastAsia="zh-CN"/>
        </w:rPr>
        <w:t xml:space="preserve"> </w:t>
      </w:r>
    </w:p>
    <w:p w14:paraId="781A3880" w14:textId="708C44AC" w:rsidR="00CC5BCC" w:rsidRPr="00CC5BCC" w:rsidRDefault="00050C7F" w:rsidP="00CC5BCC">
      <w:pPr>
        <w:rPr>
          <w:lang w:val="en-GB" w:eastAsia="zh-CN"/>
        </w:rPr>
      </w:pPr>
      <w:r>
        <w:rPr>
          <w:lang w:val="en-GB" w:eastAsia="zh-CN"/>
        </w:rPr>
        <w:t>It should be noted that u</w:t>
      </w:r>
      <w:r w:rsidR="00CC5BCC">
        <w:rPr>
          <w:lang w:val="en-GB" w:eastAsia="zh-CN"/>
        </w:rPr>
        <w:t xml:space="preserve">plink resource allocation type 1 is not available in DCI 0 with frequency hopping </w:t>
      </w:r>
      <w:r w:rsidR="00CC5BCC">
        <w:rPr>
          <w:lang w:val="en-GB" w:eastAsia="zh-CN"/>
        </w:rPr>
        <w:fldChar w:fldCharType="begin"/>
      </w:r>
      <w:r w:rsidR="00CC5BCC">
        <w:rPr>
          <w:lang w:val="en-GB" w:eastAsia="zh-CN"/>
        </w:rPr>
        <w:instrText xml:space="preserve"> REF _Ref510533522 \r \h </w:instrText>
      </w:r>
      <w:r w:rsidR="00CC5BCC">
        <w:rPr>
          <w:lang w:val="en-GB" w:eastAsia="zh-CN"/>
        </w:rPr>
      </w:r>
      <w:r w:rsidR="00CC5BCC">
        <w:rPr>
          <w:lang w:val="en-GB" w:eastAsia="zh-CN"/>
        </w:rPr>
        <w:fldChar w:fldCharType="separate"/>
      </w:r>
      <w:r w:rsidR="00725BFD">
        <w:rPr>
          <w:lang w:val="en-GB" w:eastAsia="zh-CN"/>
        </w:rPr>
        <w:t>[4]</w:t>
      </w:r>
      <w:r w:rsidR="00CC5BCC">
        <w:rPr>
          <w:lang w:val="en-GB" w:eastAsia="zh-CN"/>
        </w:rPr>
        <w:fldChar w:fldCharType="end"/>
      </w:r>
      <w:r w:rsidR="00CC5BCC">
        <w:rPr>
          <w:lang w:val="en-GB" w:eastAsia="zh-CN"/>
        </w:rPr>
        <w:t xml:space="preserve">. </w:t>
      </w:r>
      <w:r>
        <w:rPr>
          <w:lang w:val="en-GB" w:eastAsia="zh-CN"/>
        </w:rPr>
        <w:t xml:space="preserve">Furthermore, </w:t>
      </w:r>
      <w:r w:rsidR="00CC5BCC">
        <w:rPr>
          <w:lang w:val="en-GB" w:eastAsia="zh-CN"/>
        </w:rPr>
        <w:t xml:space="preserve">an allocation strategy that can be aligned to </w:t>
      </w:r>
      <w:r>
        <w:rPr>
          <w:lang w:val="en-GB" w:eastAsia="zh-CN"/>
        </w:rPr>
        <w:t>u</w:t>
      </w:r>
      <w:r w:rsidR="00CC5BCC">
        <w:rPr>
          <w:lang w:val="en-GB" w:eastAsia="zh-CN"/>
        </w:rPr>
        <w:t xml:space="preserve">plink resource allocation type 0 </w:t>
      </w:r>
      <w:r>
        <w:rPr>
          <w:lang w:val="en-GB" w:eastAsia="zh-CN"/>
        </w:rPr>
        <w:t xml:space="preserve">will </w:t>
      </w:r>
      <w:r w:rsidR="00CC5BCC">
        <w:rPr>
          <w:lang w:val="en-GB" w:eastAsia="zh-CN"/>
        </w:rPr>
        <w:t xml:space="preserve">also </w:t>
      </w:r>
      <w:r>
        <w:rPr>
          <w:lang w:val="en-GB" w:eastAsia="zh-CN"/>
        </w:rPr>
        <w:t xml:space="preserve">be possible to </w:t>
      </w:r>
      <w:r w:rsidR="00CC5BCC">
        <w:rPr>
          <w:lang w:val="en-GB" w:eastAsia="zh-CN"/>
        </w:rPr>
        <w:t xml:space="preserve">align to uplink resource allocation type 1. </w:t>
      </w:r>
    </w:p>
    <w:p w14:paraId="3D1B1E66" w14:textId="6B24137A" w:rsidR="00294739" w:rsidRDefault="00294739" w:rsidP="00294739">
      <w:pPr>
        <w:pStyle w:val="Heading3"/>
      </w:pPr>
      <w:r>
        <w:t>PUSCH for CE mode A and 1.4</w:t>
      </w:r>
      <w:r w:rsidR="004B6ADD">
        <w:t xml:space="preserve"> </w:t>
      </w:r>
      <w:r>
        <w:t>MHz BL/CE UE</w:t>
      </w:r>
    </w:p>
    <w:p w14:paraId="502AB5AB" w14:textId="651C2552" w:rsidR="00B0542D" w:rsidRPr="00B0542D" w:rsidRDefault="00B0542D" w:rsidP="00B0542D">
      <w:pPr>
        <w:pStyle w:val="Heading4"/>
      </w:pPr>
      <w:r>
        <w:t>FDD</w:t>
      </w:r>
    </w:p>
    <w:p w14:paraId="4BA4938E" w14:textId="55857382" w:rsidR="00A718B0" w:rsidRPr="003B45F0" w:rsidRDefault="003B45F0" w:rsidP="00A718B0">
      <w:pPr>
        <w:rPr>
          <w:lang w:val="en-GB" w:eastAsia="zh-CN"/>
        </w:rPr>
      </w:pPr>
      <w:r>
        <w:rPr>
          <w:lang w:val="en-GB" w:eastAsia="zh-CN"/>
        </w:rPr>
        <w:t xml:space="preserve">As outlined in Section </w:t>
      </w:r>
      <w:r>
        <w:rPr>
          <w:lang w:val="en-GB" w:eastAsia="zh-CN"/>
        </w:rPr>
        <w:fldChar w:fldCharType="begin"/>
      </w:r>
      <w:r>
        <w:rPr>
          <w:lang w:val="en-GB" w:eastAsia="zh-CN"/>
        </w:rPr>
        <w:instrText xml:space="preserve"> REF _Ref510601908 \r \h </w:instrText>
      </w:r>
      <w:r>
        <w:rPr>
          <w:lang w:val="en-GB" w:eastAsia="zh-CN"/>
        </w:rPr>
      </w:r>
      <w:r>
        <w:rPr>
          <w:lang w:val="en-GB" w:eastAsia="zh-CN"/>
        </w:rPr>
        <w:fldChar w:fldCharType="separate"/>
      </w:r>
      <w:r w:rsidR="00725BFD">
        <w:rPr>
          <w:lang w:val="en-GB" w:eastAsia="zh-CN"/>
        </w:rPr>
        <w:t>5.3.1</w:t>
      </w:r>
      <w:r>
        <w:rPr>
          <w:lang w:val="en-GB" w:eastAsia="zh-CN"/>
        </w:rPr>
        <w:fldChar w:fldCharType="end"/>
      </w:r>
      <w:r>
        <w:rPr>
          <w:lang w:val="en-GB" w:eastAsia="zh-CN"/>
        </w:rPr>
        <w:t xml:space="preserve">, a full flexibility of the starting PRB can be obtained by increasing the Resource block assignment field by 1 bit.  Since </w:t>
      </w:r>
      <w:r w:rsidRPr="000653F9">
        <w:rPr>
          <w:lang w:val="en-GB" w:eastAsia="zh-CN"/>
        </w:rPr>
        <w:t xml:space="preserve">the </w:t>
      </w:r>
      <w:r>
        <w:rPr>
          <w:lang w:val="en-GB" w:eastAsia="zh-CN"/>
        </w:rPr>
        <w:t xml:space="preserve">number of bits in </w:t>
      </w:r>
      <w:r w:rsidRPr="000653F9">
        <w:rPr>
          <w:lang w:val="en-GB" w:eastAsia="zh-CN"/>
        </w:rPr>
        <w:t xml:space="preserve">DCI </w:t>
      </w:r>
      <w:r>
        <w:rPr>
          <w:lang w:val="en-GB" w:eastAsia="zh-CN"/>
        </w:rPr>
        <w:t xml:space="preserve">format 6-0A for FDD is less that the number of bits in DCI format 6-1A (see </w:t>
      </w:r>
      <w:r>
        <w:rPr>
          <w:lang w:val="en-GB" w:eastAsia="zh-CN"/>
        </w:rPr>
        <w:fldChar w:fldCharType="begin"/>
      </w:r>
      <w:r>
        <w:rPr>
          <w:lang w:val="en-GB" w:eastAsia="zh-CN"/>
        </w:rPr>
        <w:instrText xml:space="preserve"> REF _Ref510601055 \r \h </w:instrText>
      </w:r>
      <w:r>
        <w:rPr>
          <w:lang w:val="en-GB" w:eastAsia="zh-CN"/>
        </w:rPr>
      </w:r>
      <w:r>
        <w:rPr>
          <w:lang w:val="en-GB" w:eastAsia="zh-CN"/>
        </w:rPr>
        <w:fldChar w:fldCharType="separate"/>
      </w:r>
      <w:r w:rsidR="00725BFD">
        <w:rPr>
          <w:lang w:val="en-GB" w:eastAsia="zh-CN"/>
        </w:rPr>
        <w:t>Observation 7</w:t>
      </w:r>
      <w:r>
        <w:rPr>
          <w:lang w:val="en-GB" w:eastAsia="zh-CN"/>
        </w:rPr>
        <w:fldChar w:fldCharType="end"/>
      </w:r>
      <w:r>
        <w:rPr>
          <w:lang w:val="en-GB" w:eastAsia="zh-CN"/>
        </w:rPr>
        <w:t xml:space="preserve"> - </w:t>
      </w:r>
      <w:r>
        <w:rPr>
          <w:lang w:val="en-GB" w:eastAsia="zh-CN"/>
        </w:rPr>
        <w:fldChar w:fldCharType="begin"/>
      </w:r>
      <w:r>
        <w:rPr>
          <w:lang w:val="en-GB" w:eastAsia="zh-CN"/>
        </w:rPr>
        <w:instrText xml:space="preserve"> REF _Ref510601072 \r \h </w:instrText>
      </w:r>
      <w:r>
        <w:rPr>
          <w:lang w:val="en-GB" w:eastAsia="zh-CN"/>
        </w:rPr>
      </w:r>
      <w:r>
        <w:rPr>
          <w:lang w:val="en-GB" w:eastAsia="zh-CN"/>
        </w:rPr>
        <w:fldChar w:fldCharType="separate"/>
      </w:r>
      <w:r w:rsidR="00725BFD">
        <w:rPr>
          <w:lang w:val="en-GB" w:eastAsia="zh-CN"/>
        </w:rPr>
        <w:t>Observation 10</w:t>
      </w:r>
      <w:r>
        <w:rPr>
          <w:lang w:val="en-GB" w:eastAsia="zh-CN"/>
        </w:rPr>
        <w:fldChar w:fldCharType="end"/>
      </w:r>
      <w:r>
        <w:rPr>
          <w:lang w:val="en-GB" w:eastAsia="zh-CN"/>
        </w:rPr>
        <w:t xml:space="preserve">), </w:t>
      </w:r>
      <w:r w:rsidR="00B0542D">
        <w:rPr>
          <w:lang w:val="en-GB" w:eastAsia="zh-CN"/>
        </w:rPr>
        <w:t>the DCI size after padding is not increased by adding one bit to</w:t>
      </w:r>
      <w:r>
        <w:rPr>
          <w:lang w:val="en-GB" w:eastAsia="zh-CN"/>
        </w:rPr>
        <w:t xml:space="preserve"> DCI 6-0A</w:t>
      </w:r>
      <w:r w:rsidR="00B0542D">
        <w:rPr>
          <w:lang w:val="en-GB" w:eastAsia="zh-CN"/>
        </w:rPr>
        <w:t>.</w:t>
      </w:r>
      <w:r>
        <w:rPr>
          <w:lang w:val="en-GB" w:eastAsia="zh-CN"/>
        </w:rPr>
        <w:t xml:space="preserve">   </w:t>
      </w:r>
    </w:p>
    <w:p w14:paraId="60A0B8EB" w14:textId="333FFB71" w:rsidR="00294739" w:rsidRDefault="003B45F0" w:rsidP="00294739">
      <w:pPr>
        <w:pStyle w:val="Proposal"/>
      </w:pPr>
      <w:bookmarkStart w:id="59" w:name="_Toc506310976"/>
      <w:bookmarkStart w:id="60" w:name="_Toc506311816"/>
      <w:bookmarkStart w:id="61" w:name="_Toc506311834"/>
      <w:bookmarkStart w:id="62" w:name="_Toc506455344"/>
      <w:bookmarkStart w:id="63" w:name="_Toc506456775"/>
      <w:bookmarkStart w:id="64" w:name="_Toc506457093"/>
      <w:bookmarkStart w:id="65" w:name="_Toc506464641"/>
      <w:bookmarkStart w:id="66" w:name="_Toc506465501"/>
      <w:bookmarkStart w:id="67" w:name="_Toc506465596"/>
      <w:bookmarkStart w:id="68" w:name="_Toc506466215"/>
      <w:bookmarkStart w:id="69" w:name="_Toc506467170"/>
      <w:bookmarkStart w:id="70" w:name="_Toc506467888"/>
      <w:bookmarkStart w:id="71" w:name="_Toc506467942"/>
      <w:bookmarkStart w:id="72" w:name="_Toc506468088"/>
      <w:bookmarkStart w:id="73" w:name="_Toc506468236"/>
      <w:bookmarkStart w:id="74" w:name="_Toc506468320"/>
      <w:bookmarkStart w:id="75" w:name="_Toc506468346"/>
      <w:bookmarkStart w:id="76" w:name="_Toc506559813"/>
      <w:bookmarkStart w:id="77" w:name="_Toc510096647"/>
      <w:bookmarkStart w:id="78" w:name="_Toc510538297"/>
      <w:bookmarkStart w:id="79" w:name="_Toc510538406"/>
      <w:bookmarkStart w:id="80" w:name="_Toc510602953"/>
      <w:bookmarkStart w:id="81" w:name="_Toc510609686"/>
      <w:bookmarkStart w:id="82" w:name="_Toc510609770"/>
      <w:bookmarkStart w:id="83" w:name="_Toc510609782"/>
      <w:bookmarkStart w:id="84" w:name="_Toc510609808"/>
      <w:bookmarkStart w:id="85" w:name="_Toc510609853"/>
      <w:bookmarkStart w:id="86" w:name="_Toc510698731"/>
      <w:bookmarkStart w:id="87" w:name="_Toc510699182"/>
      <w:bookmarkStart w:id="88" w:name="_Toc510702870"/>
      <w:bookmarkStart w:id="89" w:name="_Toc510705018"/>
      <w:bookmarkStart w:id="90" w:name="_Toc510726932"/>
      <w:bookmarkStart w:id="91" w:name="_Toc510800085"/>
      <w:bookmarkStart w:id="92" w:name="_Toc510800120"/>
      <w:bookmarkStart w:id="93" w:name="_Toc510800306"/>
      <w:bookmarkStart w:id="94" w:name="_Toc510801594"/>
      <w:bookmarkStart w:id="95" w:name="_Toc513192897"/>
      <w:bookmarkStart w:id="96" w:name="_Toc513193028"/>
      <w:bookmarkStart w:id="97" w:name="_Toc513635332"/>
      <w:bookmarkStart w:id="98" w:name="_Toc513643184"/>
      <w:bookmarkStart w:id="99" w:name="_Toc513647101"/>
      <w:bookmarkStart w:id="100" w:name="_Toc513656510"/>
      <w:bookmarkStart w:id="101" w:name="_Toc513659484"/>
      <w:bookmarkStart w:id="102" w:name="_Toc513660077"/>
      <w:bookmarkStart w:id="103" w:name="_Toc513820089"/>
      <w:bookmarkStart w:id="104" w:name="_Toc513820366"/>
      <w:bookmarkStart w:id="105" w:name="_Toc513821102"/>
      <w:r>
        <w:rPr>
          <w:lang w:eastAsia="zh-CN"/>
        </w:rPr>
        <w:t xml:space="preserve">For </w:t>
      </w:r>
      <w:r w:rsidR="006D1EA3">
        <w:rPr>
          <w:lang w:eastAsia="zh-CN"/>
        </w:rPr>
        <w:t xml:space="preserve">FDD and </w:t>
      </w:r>
      <w:r>
        <w:rPr>
          <w:lang w:eastAsia="zh-CN"/>
        </w:rPr>
        <w:t>PUSCH</w:t>
      </w:r>
      <w:r w:rsidR="002572FD">
        <w:rPr>
          <w:lang w:eastAsia="zh-CN"/>
        </w:rPr>
        <w:t xml:space="preserve"> in</w:t>
      </w:r>
      <w:r>
        <w:rPr>
          <w:lang w:eastAsia="zh-CN"/>
        </w:rPr>
        <w:t xml:space="preserve"> CE mode A and 1.4 MHz BL/CE</w:t>
      </w:r>
      <w:r w:rsidR="00FD615D">
        <w:rPr>
          <w:lang w:eastAsia="zh-CN"/>
        </w:rPr>
        <w:t xml:space="preserve"> UE</w:t>
      </w:r>
      <w:r>
        <w:rPr>
          <w:lang w:eastAsia="zh-CN"/>
        </w:rPr>
        <w:t xml:space="preserve">, </w:t>
      </w:r>
      <w:bookmarkStart w:id="106" w:name="_Hlk513653902"/>
      <w:r>
        <w:rPr>
          <w:lang w:eastAsia="zh-CN"/>
        </w:rPr>
        <w:t>u</w:t>
      </w:r>
      <w:r w:rsidR="00E25DE7">
        <w:rPr>
          <w:lang w:eastAsia="zh-CN"/>
        </w:rPr>
        <w:t>se Resource allocation type 2 with starting PRB within the full system BW</w:t>
      </w:r>
      <w:r w:rsidR="00A718B0">
        <w:t>.</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bookmarkEnd w:id="106"/>
    <w:p w14:paraId="09A52229" w14:textId="3EB132F7" w:rsidR="00B0542D" w:rsidRDefault="00B0542D" w:rsidP="00B0542D">
      <w:pPr>
        <w:pStyle w:val="Heading4"/>
      </w:pPr>
      <w:r>
        <w:t>TDD</w:t>
      </w:r>
    </w:p>
    <w:p w14:paraId="4C88C729" w14:textId="2E0E05F9" w:rsidR="005B64AF" w:rsidRDefault="00B0542D" w:rsidP="00B0542D">
      <w:pPr>
        <w:rPr>
          <w:lang w:val="en-GB" w:eastAsia="zh-CN"/>
        </w:rPr>
      </w:pPr>
      <w:r>
        <w:rPr>
          <w:lang w:val="en-GB" w:eastAsia="zh-CN"/>
        </w:rPr>
        <w:t xml:space="preserve">Similarly to the case for PDSCH, a more flexible resource allocation (although not a full flexibility) may be obtained by using the 11 RIV values 21-31. </w:t>
      </w:r>
      <w:r w:rsidR="00CC5BCC">
        <w:rPr>
          <w:lang w:val="en-GB" w:eastAsia="zh-CN"/>
        </w:rPr>
        <w:t xml:space="preserve">With the proposed RIV values as in </w:t>
      </w:r>
      <w:r w:rsidR="00CC5BCC">
        <w:rPr>
          <w:lang w:val="en-GB" w:eastAsia="zh-CN"/>
        </w:rPr>
        <w:fldChar w:fldCharType="begin"/>
      </w:r>
      <w:r w:rsidR="00CC5BCC">
        <w:rPr>
          <w:lang w:val="en-GB" w:eastAsia="zh-CN"/>
        </w:rPr>
        <w:instrText xml:space="preserve"> REF _Ref510704965 \h </w:instrText>
      </w:r>
      <w:r w:rsidR="00CC5BCC">
        <w:rPr>
          <w:lang w:val="en-GB" w:eastAsia="zh-CN"/>
        </w:rPr>
      </w:r>
      <w:r w:rsidR="00CC5BCC">
        <w:rPr>
          <w:lang w:val="en-GB" w:eastAsia="zh-CN"/>
        </w:rPr>
        <w:fldChar w:fldCharType="separate"/>
      </w:r>
      <w:r w:rsidR="00725BFD">
        <w:t xml:space="preserve">Table </w:t>
      </w:r>
      <w:r w:rsidR="00725BFD">
        <w:rPr>
          <w:noProof/>
        </w:rPr>
        <w:t>1</w:t>
      </w:r>
      <w:r w:rsidR="00CC5BCC">
        <w:rPr>
          <w:lang w:val="en-GB" w:eastAsia="zh-CN"/>
        </w:rPr>
        <w:fldChar w:fldCharType="end"/>
      </w:r>
      <w:r w:rsidR="00CC5BCC">
        <w:rPr>
          <w:lang w:val="en-GB" w:eastAsia="zh-CN"/>
        </w:rPr>
        <w:t xml:space="preserve">, </w:t>
      </w:r>
      <w:r w:rsidR="005B64AF">
        <w:rPr>
          <w:lang w:val="en-GB" w:eastAsia="zh-CN"/>
        </w:rPr>
        <w:t xml:space="preserve">an </w:t>
      </w:r>
      <w:r w:rsidR="00CC5BCC">
        <w:rPr>
          <w:lang w:val="en-GB" w:eastAsia="zh-CN"/>
        </w:rPr>
        <w:t xml:space="preserve">allocation of 1, 2, 3, 4, and 6 consecutive PRBs </w:t>
      </w:r>
      <w:r w:rsidR="005B64AF">
        <w:rPr>
          <w:lang w:val="en-GB" w:eastAsia="zh-CN"/>
        </w:rPr>
        <w:t xml:space="preserve">from any starting PRB within the system bandwidth can be indicated. The allocation of 5 PRBs can however </w:t>
      </w:r>
      <w:r w:rsidR="00050C7F">
        <w:rPr>
          <w:lang w:val="en-GB" w:eastAsia="zh-CN"/>
        </w:rPr>
        <w:t xml:space="preserve">only </w:t>
      </w:r>
      <w:r w:rsidR="005B64AF">
        <w:rPr>
          <w:lang w:val="en-GB" w:eastAsia="zh-CN"/>
        </w:rPr>
        <w:t xml:space="preserve">use the first and second PRB within a narrowband as the starting PRB (i.e. only 2 out of 6 possible allocations for 5 PRBs can be used), see </w:t>
      </w:r>
      <w:r w:rsidR="005B64AF">
        <w:rPr>
          <w:lang w:val="en-GB" w:eastAsia="zh-CN"/>
        </w:rPr>
        <w:fldChar w:fldCharType="begin"/>
      </w:r>
      <w:r w:rsidR="005B64AF">
        <w:rPr>
          <w:lang w:val="en-GB" w:eastAsia="zh-CN"/>
        </w:rPr>
        <w:instrText xml:space="preserve"> REF _Ref510638416 \h </w:instrText>
      </w:r>
      <w:r w:rsidR="005B64AF">
        <w:rPr>
          <w:lang w:val="en-GB" w:eastAsia="zh-CN"/>
        </w:rPr>
      </w:r>
      <w:r w:rsidR="005B64AF">
        <w:rPr>
          <w:lang w:val="en-GB" w:eastAsia="zh-CN"/>
        </w:rPr>
        <w:fldChar w:fldCharType="separate"/>
      </w:r>
      <w:r w:rsidR="00725BFD">
        <w:t xml:space="preserve">Figure </w:t>
      </w:r>
      <w:r w:rsidR="00725BFD">
        <w:rPr>
          <w:noProof/>
        </w:rPr>
        <w:t>1</w:t>
      </w:r>
      <w:r w:rsidR="005B64AF">
        <w:rPr>
          <w:lang w:val="en-GB" w:eastAsia="zh-CN"/>
        </w:rPr>
        <w:fldChar w:fldCharType="end"/>
      </w:r>
      <w:r w:rsidR="005B64AF">
        <w:rPr>
          <w:lang w:val="en-GB" w:eastAsia="zh-CN"/>
        </w:rPr>
        <w:t>.</w:t>
      </w:r>
    </w:p>
    <w:p w14:paraId="3F68D112" w14:textId="7E083665" w:rsidR="000C0F54" w:rsidRPr="000C0F54" w:rsidRDefault="000C0F54" w:rsidP="00B0542D">
      <w:pPr>
        <w:pStyle w:val="Proposal"/>
      </w:pPr>
      <w:bookmarkStart w:id="107" w:name="_Toc513635333"/>
      <w:bookmarkStart w:id="108" w:name="_Toc513643185"/>
      <w:bookmarkStart w:id="109" w:name="_Toc513647102"/>
      <w:bookmarkStart w:id="110" w:name="_Toc513656511"/>
      <w:bookmarkStart w:id="111" w:name="_Toc513659485"/>
      <w:bookmarkStart w:id="112" w:name="_Toc513660078"/>
      <w:bookmarkStart w:id="113" w:name="_Toc513820090"/>
      <w:bookmarkStart w:id="114" w:name="_Toc513820367"/>
      <w:bookmarkStart w:id="115" w:name="_Toc513821103"/>
      <w:r>
        <w:rPr>
          <w:lang w:eastAsia="zh-CN"/>
        </w:rPr>
        <w:t xml:space="preserve">For TDD and PUSCH in CE mode A, if </w:t>
      </w:r>
      <w:r>
        <w:t xml:space="preserve">the RIV values 21-31 are used to extend the starting PRB for PUSCH resource allocation, the RIV values 21-31 are defined as in </w:t>
      </w:r>
      <w:r>
        <w:fldChar w:fldCharType="begin"/>
      </w:r>
      <w:r>
        <w:instrText xml:space="preserve"> REF _Ref510704965 \h </w:instrText>
      </w:r>
      <w:r>
        <w:fldChar w:fldCharType="separate"/>
      </w:r>
      <w:r w:rsidR="00725BFD">
        <w:t xml:space="preserve">Table </w:t>
      </w:r>
      <w:r w:rsidR="00725BFD">
        <w:rPr>
          <w:noProof/>
        </w:rPr>
        <w:t>1</w:t>
      </w:r>
      <w:r>
        <w:fldChar w:fldCharType="end"/>
      </w:r>
      <w:r>
        <w:t>.</w:t>
      </w:r>
      <w:bookmarkEnd w:id="107"/>
      <w:bookmarkEnd w:id="108"/>
      <w:bookmarkEnd w:id="109"/>
      <w:bookmarkEnd w:id="110"/>
      <w:bookmarkEnd w:id="111"/>
      <w:bookmarkEnd w:id="112"/>
      <w:bookmarkEnd w:id="113"/>
      <w:bookmarkEnd w:id="114"/>
      <w:bookmarkEnd w:id="115"/>
    </w:p>
    <w:p w14:paraId="32518161" w14:textId="6EF4EC3F" w:rsidR="006A177E" w:rsidRDefault="005B64AF" w:rsidP="00B0542D">
      <w:pPr>
        <w:rPr>
          <w:lang w:val="en-GB" w:eastAsia="zh-CN"/>
        </w:rPr>
      </w:pPr>
      <w:r>
        <w:rPr>
          <w:lang w:val="en-GB" w:eastAsia="zh-CN"/>
        </w:rPr>
        <w:t xml:space="preserve">The Resource block assignment field in DCI 6-0A specifies that if the 5 least significant bits (corresponding to the RIV values) are greater than 20, then </w:t>
      </w:r>
      <w:r w:rsidR="00050C7F">
        <w:rPr>
          <w:lang w:val="en-GB" w:eastAsia="zh-CN"/>
        </w:rPr>
        <w:t>u</w:t>
      </w:r>
      <w:r>
        <w:rPr>
          <w:lang w:val="en-GB" w:eastAsia="zh-CN"/>
        </w:rPr>
        <w:t>plink resource allocation type 4 shall be used</w:t>
      </w:r>
      <w:r w:rsidR="006A177E">
        <w:rPr>
          <w:lang w:val="en-GB" w:eastAsia="zh-CN"/>
        </w:rPr>
        <w:t xml:space="preserve"> </w:t>
      </w:r>
      <w:r w:rsidR="006A177E">
        <w:rPr>
          <w:lang w:val="en-GB" w:eastAsia="zh-CN"/>
        </w:rPr>
        <w:fldChar w:fldCharType="begin"/>
      </w:r>
      <w:r w:rsidR="006A177E">
        <w:rPr>
          <w:lang w:val="en-GB" w:eastAsia="zh-CN"/>
        </w:rPr>
        <w:instrText xml:space="preserve"> REF _Ref510533522 \r \h </w:instrText>
      </w:r>
      <w:r w:rsidR="006A177E">
        <w:rPr>
          <w:lang w:val="en-GB" w:eastAsia="zh-CN"/>
        </w:rPr>
      </w:r>
      <w:r w:rsidR="006A177E">
        <w:rPr>
          <w:lang w:val="en-GB" w:eastAsia="zh-CN"/>
        </w:rPr>
        <w:fldChar w:fldCharType="separate"/>
      </w:r>
      <w:r w:rsidR="00725BFD">
        <w:rPr>
          <w:lang w:val="en-GB" w:eastAsia="zh-CN"/>
        </w:rPr>
        <w:t>[4]</w:t>
      </w:r>
      <w:r w:rsidR="006A177E">
        <w:rPr>
          <w:lang w:val="en-GB" w:eastAsia="zh-CN"/>
        </w:rPr>
        <w:fldChar w:fldCharType="end"/>
      </w:r>
      <w:r w:rsidR="00050C7F">
        <w:rPr>
          <w:lang w:val="en-GB" w:eastAsia="zh-CN"/>
        </w:rPr>
        <w:t xml:space="preserve">. Uplink resource allocation type 4 </w:t>
      </w:r>
      <w:r>
        <w:rPr>
          <w:lang w:val="en-GB" w:eastAsia="zh-CN"/>
        </w:rPr>
        <w:t>is only</w:t>
      </w:r>
      <w:r w:rsidR="006A177E">
        <w:rPr>
          <w:lang w:val="en-GB" w:eastAsia="zh-CN"/>
        </w:rPr>
        <w:t xml:space="preserve"> applicable for BL/CE UEs configured for 5MHz transmission bandwidth. </w:t>
      </w:r>
    </w:p>
    <w:p w14:paraId="7FB06280" w14:textId="1F19593A" w:rsidR="006A177E" w:rsidRPr="006A177E" w:rsidRDefault="006A177E" w:rsidP="00B0542D">
      <w:pPr>
        <w:pStyle w:val="Observation"/>
        <w:rPr>
          <w:lang w:val="en-GB" w:eastAsia="zh-CN"/>
        </w:rPr>
      </w:pPr>
      <w:bookmarkStart w:id="116" w:name="_Toc513635322"/>
      <w:bookmarkStart w:id="117" w:name="_Toc513643173"/>
      <w:bookmarkStart w:id="118" w:name="_Toc513647088"/>
      <w:bookmarkStart w:id="119" w:name="_Toc513656497"/>
      <w:bookmarkStart w:id="120" w:name="_Toc513659471"/>
      <w:bookmarkStart w:id="121" w:name="_Toc513660064"/>
      <w:bookmarkStart w:id="122" w:name="_Toc513820076"/>
      <w:bookmarkStart w:id="123" w:name="_Toc513820353"/>
      <w:bookmarkStart w:id="124" w:name="_Toc513821089"/>
      <w:r>
        <w:rPr>
          <w:lang w:val="en-GB" w:eastAsia="zh-CN"/>
        </w:rPr>
        <w:t>PUSCH resource allocation type 4 for 5MHz BL/CE UE in CE mode A already use the “unused” RIV values 21-31.</w:t>
      </w:r>
      <w:bookmarkEnd w:id="116"/>
      <w:bookmarkEnd w:id="117"/>
      <w:bookmarkEnd w:id="118"/>
      <w:bookmarkEnd w:id="119"/>
      <w:bookmarkEnd w:id="120"/>
      <w:bookmarkEnd w:id="121"/>
      <w:bookmarkEnd w:id="122"/>
      <w:bookmarkEnd w:id="123"/>
      <w:bookmarkEnd w:id="124"/>
    </w:p>
    <w:p w14:paraId="4000BE0A" w14:textId="0DC10DAD" w:rsidR="00CF1AE8" w:rsidRDefault="006A177E" w:rsidP="00B0542D">
      <w:pPr>
        <w:rPr>
          <w:lang w:val="en-GB" w:eastAsia="zh-CN"/>
        </w:rPr>
      </w:pPr>
      <w:r>
        <w:rPr>
          <w:lang w:val="en-GB" w:eastAsia="zh-CN"/>
        </w:rPr>
        <w:t xml:space="preserve">Thus, </w:t>
      </w:r>
      <w:r w:rsidR="00CF1AE8">
        <w:rPr>
          <w:lang w:val="en-GB" w:eastAsia="zh-CN"/>
        </w:rPr>
        <w:t xml:space="preserve">for BL/CE UEs </w:t>
      </w:r>
      <w:r>
        <w:rPr>
          <w:lang w:val="en-GB" w:eastAsia="zh-CN"/>
        </w:rPr>
        <w:t xml:space="preserve">there is a conflict of using </w:t>
      </w:r>
      <w:r w:rsidR="00CF1AE8">
        <w:rPr>
          <w:lang w:val="en-GB" w:eastAsia="zh-CN"/>
        </w:rPr>
        <w:t>RIV values 21-31 for increasing the flexibility of the starting PRB for PUSCH resource allocations for allocations of up to 6 PRBs with allocations within the full 5MHz UE bandwidth.</w:t>
      </w:r>
    </w:p>
    <w:p w14:paraId="423663E3" w14:textId="535E53FB" w:rsidR="00CF1AE8" w:rsidRDefault="00914C9B" w:rsidP="00914C9B">
      <w:pPr>
        <w:pStyle w:val="Proposal"/>
        <w:rPr>
          <w:lang w:val="en-GB" w:eastAsia="zh-CN"/>
        </w:rPr>
      </w:pPr>
      <w:bookmarkStart w:id="125" w:name="_Toc513635334"/>
      <w:bookmarkStart w:id="126" w:name="_Toc513643186"/>
      <w:bookmarkStart w:id="127" w:name="_Toc513647103"/>
      <w:bookmarkStart w:id="128" w:name="_Toc513656512"/>
      <w:bookmarkStart w:id="129" w:name="_Toc513659486"/>
      <w:bookmarkStart w:id="130" w:name="_Toc513660079"/>
      <w:bookmarkStart w:id="131" w:name="_Toc513820091"/>
      <w:bookmarkStart w:id="132" w:name="_Toc513820368"/>
      <w:bookmarkStart w:id="133" w:name="_Toc513821104"/>
      <w:r w:rsidRPr="00914C9B">
        <w:rPr>
          <w:lang w:val="en-GB" w:eastAsia="zh-CN"/>
        </w:rPr>
        <w:t xml:space="preserve">Flexible starting PUSCH PRB for </w:t>
      </w:r>
      <w:r w:rsidR="00741CCB">
        <w:rPr>
          <w:lang w:val="en-GB" w:eastAsia="zh-CN"/>
        </w:rPr>
        <w:t xml:space="preserve">BL/CE </w:t>
      </w:r>
      <w:r w:rsidRPr="00914C9B">
        <w:rPr>
          <w:lang w:val="en-GB" w:eastAsia="zh-CN"/>
        </w:rPr>
        <w:t>UE configured with 5 MHz max PUSCH channel bandwidth is not considered further in Rel-15</w:t>
      </w:r>
      <w:r w:rsidR="006D1EA3">
        <w:rPr>
          <w:lang w:eastAsia="zh-CN"/>
        </w:rPr>
        <w:t>.</w:t>
      </w:r>
      <w:bookmarkEnd w:id="125"/>
      <w:bookmarkEnd w:id="126"/>
      <w:bookmarkEnd w:id="127"/>
      <w:bookmarkEnd w:id="128"/>
      <w:bookmarkEnd w:id="129"/>
      <w:bookmarkEnd w:id="130"/>
      <w:bookmarkEnd w:id="131"/>
      <w:bookmarkEnd w:id="132"/>
      <w:bookmarkEnd w:id="133"/>
    </w:p>
    <w:p w14:paraId="2EFCFD9B" w14:textId="181D8840" w:rsidR="00B0542D" w:rsidRPr="00B0542D" w:rsidRDefault="00CF1AE8" w:rsidP="00B0542D">
      <w:pPr>
        <w:rPr>
          <w:lang w:val="en-GB" w:eastAsia="zh-CN"/>
        </w:rPr>
      </w:pPr>
      <w:r>
        <w:rPr>
          <w:lang w:val="en-GB" w:eastAsia="zh-CN"/>
        </w:rPr>
        <w:t xml:space="preserve"> </w:t>
      </w:r>
    </w:p>
    <w:p w14:paraId="7607E58D" w14:textId="315B1902" w:rsidR="00A718B0" w:rsidRDefault="00A718B0" w:rsidP="00A718B0">
      <w:pPr>
        <w:pStyle w:val="Heading3"/>
      </w:pPr>
      <w:r>
        <w:t>PUSCH for CE mode B and 1.4 MHz BL/CE UE</w:t>
      </w:r>
    </w:p>
    <w:p w14:paraId="4CE8AB2C" w14:textId="77777777" w:rsidR="00C622C2" w:rsidRDefault="00814163" w:rsidP="002850BB">
      <w:r>
        <w:t xml:space="preserve">For the uplink resource allocation in CE mode B either </w:t>
      </w:r>
      <w:r w:rsidR="002572FD">
        <w:t>1</w:t>
      </w:r>
      <w:r>
        <w:t xml:space="preserve"> or </w:t>
      </w:r>
      <w:r w:rsidR="002572FD">
        <w:t>2</w:t>
      </w:r>
      <w:r>
        <w:t xml:space="preserve"> PRBs can be allocated. </w:t>
      </w:r>
    </w:p>
    <w:p w14:paraId="68A4FF4A" w14:textId="77777777" w:rsidR="00C622C2" w:rsidRDefault="00C622C2" w:rsidP="00C622C2">
      <w:pPr>
        <w:keepNext/>
        <w:jc w:val="center"/>
      </w:pPr>
      <w:r>
        <w:rPr>
          <w:noProof/>
        </w:rPr>
        <w:lastRenderedPageBreak/>
        <w:drawing>
          <wp:inline distT="0" distB="0" distL="0" distR="0" wp14:anchorId="2B8D8391" wp14:editId="6EFD2272">
            <wp:extent cx="2257425" cy="676275"/>
            <wp:effectExtent l="0" t="0" r="9525" b="9525"/>
            <wp:docPr id="7" name="Picture 7" descr="C:\Users\erauae\Desktop\Studies\STAR\Flexible starting PRB\PUSCH type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C:\Users\erauae\Desktop\Studies\STAR\Flexible starting PRB\PUSCH type 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57425" cy="676275"/>
                    </a:xfrm>
                    <a:prstGeom prst="rect">
                      <a:avLst/>
                    </a:prstGeom>
                    <a:noFill/>
                    <a:ln>
                      <a:noFill/>
                    </a:ln>
                  </pic:spPr>
                </pic:pic>
              </a:graphicData>
            </a:graphic>
          </wp:inline>
        </w:drawing>
      </w:r>
    </w:p>
    <w:p w14:paraId="1E2C81F7" w14:textId="0BC68EE6" w:rsidR="00C622C2" w:rsidRDefault="00C622C2" w:rsidP="00C622C2">
      <w:pPr>
        <w:pStyle w:val="Caption"/>
      </w:pPr>
      <w:r>
        <w:t xml:space="preserve">Figure </w:t>
      </w:r>
      <w:r w:rsidR="0092669D">
        <w:fldChar w:fldCharType="begin"/>
      </w:r>
      <w:r w:rsidR="0092669D">
        <w:instrText xml:space="preserve"> SEQ Figure \* ARABIC </w:instrText>
      </w:r>
      <w:r w:rsidR="0092669D">
        <w:fldChar w:fldCharType="separate"/>
      </w:r>
      <w:r w:rsidR="00725BFD">
        <w:rPr>
          <w:noProof/>
        </w:rPr>
        <w:t>3</w:t>
      </w:r>
      <w:r w:rsidR="0092669D">
        <w:rPr>
          <w:noProof/>
        </w:rPr>
        <w:fldChar w:fldCharType="end"/>
      </w:r>
      <w:r>
        <w:t>: PUSCH CE mode B type 2 resource block assignment.</w:t>
      </w:r>
    </w:p>
    <w:p w14:paraId="29BCF0D2" w14:textId="42A02AF3" w:rsidR="00A718B0" w:rsidRDefault="00814163" w:rsidP="002850BB">
      <w:r>
        <w:t>For 1 PRB allocation, all PRB</w:t>
      </w:r>
      <w:r w:rsidR="00AC2922">
        <w:t>s</w:t>
      </w:r>
      <w:r>
        <w:t xml:space="preserve"> within the system bandwidth can be allocated via the current design, but the assignment of 2 PRB is </w:t>
      </w:r>
      <w:r w:rsidR="00050C7F">
        <w:t>constrained</w:t>
      </w:r>
      <w:r>
        <w:t xml:space="preserve"> to </w:t>
      </w:r>
      <w:r w:rsidR="00A452EA">
        <w:t xml:space="preserve">use </w:t>
      </w:r>
      <w:r>
        <w:t xml:space="preserve">either the first or third PRB </w:t>
      </w:r>
      <w:r w:rsidR="00A452EA">
        <w:t xml:space="preserve">as the starting PRB </w:t>
      </w:r>
      <w:r>
        <w:t xml:space="preserve">within the narrowband.  </w:t>
      </w:r>
    </w:p>
    <w:p w14:paraId="75F36944" w14:textId="67FAA14D" w:rsidR="00814163" w:rsidRDefault="00814163" w:rsidP="002850BB">
      <w:r>
        <w:t>To increase the flexibility</w:t>
      </w:r>
      <w:r w:rsidR="00D43DD5">
        <w:t xml:space="preserve"> without adding extra bits to the DCI</w:t>
      </w:r>
      <w:r>
        <w:t xml:space="preserve">, it is </w:t>
      </w:r>
      <w:r w:rsidRPr="003B6794">
        <w:t xml:space="preserve">considered </w:t>
      </w:r>
      <w:r w:rsidR="00D43DD5" w:rsidRPr="003B6794">
        <w:t xml:space="preserve">that a UE can be configured via RRC </w:t>
      </w:r>
      <w:r w:rsidR="003B6794" w:rsidRPr="003B6794">
        <w:t>signaling</w:t>
      </w:r>
      <w:r w:rsidR="00D43DD5" w:rsidRPr="003B6794">
        <w:t xml:space="preserve"> to shift the </w:t>
      </w:r>
      <w:r w:rsidR="00D11BDB" w:rsidRPr="003B6794">
        <w:t xml:space="preserve">starting PRB of the </w:t>
      </w:r>
      <w:r w:rsidR="00D43DD5" w:rsidRPr="003B6794">
        <w:t xml:space="preserve">allocation by </w:t>
      </w:r>
      <w:r w:rsidR="00D11BDB" w:rsidRPr="003B6794">
        <w:t xml:space="preserve">either </w:t>
      </w:r>
      <w:r w:rsidR="00511031" w:rsidRPr="003B6794">
        <w:t xml:space="preserve">of {1, 2, 3} </w:t>
      </w:r>
      <w:r w:rsidR="00D11BDB" w:rsidRPr="003B6794">
        <w:t>PRB</w:t>
      </w:r>
      <w:r w:rsidR="00511031" w:rsidRPr="003B6794">
        <w:t>s</w:t>
      </w:r>
      <w:r w:rsidR="00D43DD5" w:rsidRPr="003B6794">
        <w:t xml:space="preserve"> </w:t>
      </w:r>
      <w:r w:rsidR="00511031" w:rsidRPr="003B6794">
        <w:t xml:space="preserve">towards </w:t>
      </w:r>
      <w:r w:rsidR="00BB32D4" w:rsidRPr="003B6794">
        <w:t>higher PRB index</w:t>
      </w:r>
      <w:r w:rsidR="00511031" w:rsidRPr="003B6794">
        <w:t xml:space="preserve"> of the system bandwidth</w:t>
      </w:r>
      <w:r w:rsidR="00D11BDB" w:rsidRPr="003B6794">
        <w:t>. This will allow for adjusting the allocation to e.g. PU</w:t>
      </w:r>
      <w:r w:rsidR="008174EE" w:rsidRPr="003B6794">
        <w:t>C</w:t>
      </w:r>
      <w:r w:rsidR="00D11BDB" w:rsidRPr="003B6794">
        <w:t>CH and</w:t>
      </w:r>
      <w:r w:rsidR="00D11BDB">
        <w:t xml:space="preserve"> PRACH regions at the edges of the spectrum. </w:t>
      </w:r>
    </w:p>
    <w:p w14:paraId="5F530C50" w14:textId="77777777" w:rsidR="00511031" w:rsidRDefault="00511031" w:rsidP="00511031">
      <w:pPr>
        <w:keepNext/>
        <w:jc w:val="center"/>
      </w:pPr>
      <w:r>
        <w:rPr>
          <w:noProof/>
        </w:rPr>
        <w:drawing>
          <wp:inline distT="0" distB="0" distL="0" distR="0" wp14:anchorId="5D5043F9" wp14:editId="17D1F032">
            <wp:extent cx="2438400" cy="1219200"/>
            <wp:effectExtent l="0" t="0" r="0" b="0"/>
            <wp:docPr id="8" name="Picture 8" descr="C:\Users\erauae\Desktop\Studies\STAR\Flexible starting PRB\Shifted PDSCH CE mode B 1.4MH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erauae\Desktop\Studies\STAR\Flexible starting PRB\Shifted PDSCH CE mode B 1.4MHz.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38400" cy="1219200"/>
                    </a:xfrm>
                    <a:prstGeom prst="rect">
                      <a:avLst/>
                    </a:prstGeom>
                    <a:noFill/>
                    <a:ln>
                      <a:noFill/>
                    </a:ln>
                  </pic:spPr>
                </pic:pic>
              </a:graphicData>
            </a:graphic>
          </wp:inline>
        </w:drawing>
      </w:r>
    </w:p>
    <w:p w14:paraId="5AF8CBEC" w14:textId="50CBB092" w:rsidR="00511031" w:rsidRDefault="00511031" w:rsidP="00511031">
      <w:pPr>
        <w:pStyle w:val="Caption"/>
      </w:pPr>
      <w:r>
        <w:t xml:space="preserve">Figure </w:t>
      </w:r>
      <w:r w:rsidR="0092669D">
        <w:fldChar w:fldCharType="begin"/>
      </w:r>
      <w:r w:rsidR="0092669D">
        <w:instrText xml:space="preserve"> SEQ Figure \* ARABIC </w:instrText>
      </w:r>
      <w:r w:rsidR="0092669D">
        <w:fldChar w:fldCharType="separate"/>
      </w:r>
      <w:r w:rsidR="00725BFD">
        <w:rPr>
          <w:noProof/>
        </w:rPr>
        <w:t>4</w:t>
      </w:r>
      <w:r w:rsidR="0092669D">
        <w:rPr>
          <w:noProof/>
        </w:rPr>
        <w:fldChar w:fldCharType="end"/>
      </w:r>
      <w:r>
        <w:t>: Allocation of PUSCH CE mode B type 2 resource block assignment with shifted starting PRB.</w:t>
      </w:r>
    </w:p>
    <w:p w14:paraId="5709D54E" w14:textId="4CA803CA" w:rsidR="00814163" w:rsidRPr="00294739" w:rsidRDefault="00814163" w:rsidP="00814163">
      <w:pPr>
        <w:pStyle w:val="Proposal"/>
      </w:pPr>
      <w:bookmarkStart w:id="134" w:name="_Toc510602954"/>
      <w:bookmarkStart w:id="135" w:name="_Toc510609687"/>
      <w:bookmarkStart w:id="136" w:name="_Toc510609771"/>
      <w:bookmarkStart w:id="137" w:name="_Toc510609783"/>
      <w:bookmarkStart w:id="138" w:name="_Toc510609809"/>
      <w:bookmarkStart w:id="139" w:name="_Toc510609854"/>
      <w:bookmarkStart w:id="140" w:name="_Toc510698732"/>
      <w:bookmarkStart w:id="141" w:name="_Toc510699183"/>
      <w:bookmarkStart w:id="142" w:name="_Toc510702871"/>
      <w:bookmarkStart w:id="143" w:name="_Toc510705019"/>
      <w:bookmarkStart w:id="144" w:name="_Toc510726933"/>
      <w:bookmarkStart w:id="145" w:name="_Toc510800086"/>
      <w:bookmarkStart w:id="146" w:name="_Toc510800121"/>
      <w:bookmarkStart w:id="147" w:name="_Toc510800307"/>
      <w:bookmarkStart w:id="148" w:name="_Toc510801595"/>
      <w:bookmarkStart w:id="149" w:name="_Toc513192898"/>
      <w:bookmarkStart w:id="150" w:name="_Toc513193029"/>
      <w:bookmarkStart w:id="151" w:name="_Toc513635335"/>
      <w:bookmarkStart w:id="152" w:name="_Toc513643187"/>
      <w:bookmarkStart w:id="153" w:name="_Toc513647104"/>
      <w:bookmarkStart w:id="154" w:name="_Toc513656513"/>
      <w:bookmarkStart w:id="155" w:name="_Toc513659487"/>
      <w:bookmarkStart w:id="156" w:name="_Toc513660080"/>
      <w:bookmarkStart w:id="157" w:name="_Toc513820092"/>
      <w:bookmarkStart w:id="158" w:name="_Toc513820369"/>
      <w:bookmarkStart w:id="159" w:name="_Toc513821105"/>
      <w:r>
        <w:rPr>
          <w:lang w:eastAsia="zh-CN"/>
        </w:rPr>
        <w:t xml:space="preserve">For PUSCH </w:t>
      </w:r>
      <w:r w:rsidR="002572FD">
        <w:rPr>
          <w:lang w:eastAsia="zh-CN"/>
        </w:rPr>
        <w:t xml:space="preserve">in </w:t>
      </w:r>
      <w:r>
        <w:rPr>
          <w:lang w:eastAsia="zh-CN"/>
        </w:rPr>
        <w:t>CE mode B and 1.4 MHz BL/CE</w:t>
      </w:r>
      <w:r w:rsidR="00FD615D">
        <w:rPr>
          <w:lang w:eastAsia="zh-CN"/>
        </w:rPr>
        <w:t xml:space="preserve"> UE</w:t>
      </w:r>
      <w:r>
        <w:rPr>
          <w:lang w:eastAsia="zh-CN"/>
        </w:rPr>
        <w:t xml:space="preserve">, use RRC </w:t>
      </w:r>
      <w:r w:rsidR="003B6794">
        <w:rPr>
          <w:lang w:eastAsia="zh-CN"/>
        </w:rPr>
        <w:t>signaling</w:t>
      </w:r>
      <w:r>
        <w:rPr>
          <w:lang w:eastAsia="zh-CN"/>
        </w:rPr>
        <w:t xml:space="preserve"> to semi-statically</w:t>
      </w:r>
      <w:r>
        <w:t xml:space="preserve"> adjust the starting PRB of the </w:t>
      </w:r>
      <w:r w:rsidR="009211F8">
        <w:t xml:space="preserve">resource </w:t>
      </w:r>
      <w:r>
        <w:t>allocation</w:t>
      </w:r>
      <w:r w:rsidR="00511031">
        <w:t xml:space="preserve"> </w:t>
      </w:r>
      <w:r w:rsidR="00A113D9">
        <w:t xml:space="preserve">for 2 PRBs </w:t>
      </w:r>
      <w:r w:rsidR="00511031">
        <w:t xml:space="preserve">by {1, 2, 3} PRBs towards </w:t>
      </w:r>
      <w:bookmarkEnd w:id="134"/>
      <w:bookmarkEnd w:id="135"/>
      <w:bookmarkEnd w:id="136"/>
      <w:bookmarkEnd w:id="137"/>
      <w:bookmarkEnd w:id="138"/>
      <w:bookmarkEnd w:id="139"/>
      <w:bookmarkEnd w:id="140"/>
      <w:bookmarkEnd w:id="141"/>
      <w:bookmarkEnd w:id="142"/>
      <w:bookmarkEnd w:id="143"/>
      <w:r w:rsidR="00BB32D4">
        <w:t>higher PRB index.</w:t>
      </w:r>
      <w:bookmarkStart w:id="160" w:name="_GoBack"/>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33291785" w14:textId="7E647510" w:rsidR="00044B11" w:rsidRPr="000D2DE7" w:rsidRDefault="00044B11" w:rsidP="00044B11">
      <w:pPr>
        <w:pStyle w:val="Heading2"/>
      </w:pPr>
      <w:r w:rsidRPr="000D2DE7">
        <w:t>Frequency hopping</w:t>
      </w:r>
      <w:r w:rsidR="0037663F">
        <w:t xml:space="preserve"> for flexible resource allocation</w:t>
      </w:r>
    </w:p>
    <w:p w14:paraId="6B4D1BAC" w14:textId="41FCEC1D" w:rsidR="00620432" w:rsidRDefault="00CA078F" w:rsidP="00AC2922">
      <w:pPr>
        <w:rPr>
          <w:lang w:val="en-GB" w:eastAsia="zh-CN"/>
        </w:rPr>
      </w:pPr>
      <w:r w:rsidRPr="00CA078F">
        <w:rPr>
          <w:lang w:val="en-GB" w:eastAsia="zh-CN"/>
        </w:rPr>
        <w:t>If frequency hopping is enabled for BL/CE UEs, the same PRB resources within the narrowband are allocated, but the</w:t>
      </w:r>
      <w:r>
        <w:rPr>
          <w:lang w:val="en-GB" w:eastAsia="zh-CN"/>
        </w:rPr>
        <w:t xml:space="preserve"> allocated narrowband is modified </w:t>
      </w:r>
      <w:r w:rsidR="00C42D2C">
        <w:rPr>
          <w:lang w:val="en-GB" w:eastAsia="zh-CN"/>
        </w:rPr>
        <w:t xml:space="preserve">based on the cell-specific </w:t>
      </w:r>
      <w:r>
        <w:rPr>
          <w:lang w:val="en-GB" w:eastAsia="zh-CN"/>
        </w:rPr>
        <w:t xml:space="preserve">higher </w:t>
      </w:r>
      <w:r w:rsidR="00C42D2C">
        <w:rPr>
          <w:lang w:val="en-GB" w:eastAsia="zh-CN"/>
        </w:rPr>
        <w:t xml:space="preserve">layer parameter specifying a narrowband offset for the </w:t>
      </w:r>
      <w:r w:rsidR="00C42D2C" w:rsidRPr="00F35FE3">
        <w:rPr>
          <w:lang w:val="en-GB" w:eastAsia="zh-CN"/>
        </w:rPr>
        <w:t>hopping</w:t>
      </w:r>
      <w:r w:rsidR="00C42D2C">
        <w:rPr>
          <w:lang w:val="en-GB" w:eastAsia="zh-CN"/>
        </w:rPr>
        <w:t xml:space="preserve"> </w:t>
      </w:r>
      <w:r w:rsidR="00C42D2C">
        <w:rPr>
          <w:lang w:val="en-GB" w:eastAsia="zh-CN"/>
        </w:rPr>
        <w:fldChar w:fldCharType="begin"/>
      </w:r>
      <w:r w:rsidR="00C42D2C">
        <w:rPr>
          <w:lang w:val="en-GB" w:eastAsia="zh-CN"/>
        </w:rPr>
        <w:instrText xml:space="preserve"> REF _Ref505981342 \r \h </w:instrText>
      </w:r>
      <w:r w:rsidR="00C42D2C">
        <w:rPr>
          <w:lang w:val="en-GB" w:eastAsia="zh-CN"/>
        </w:rPr>
      </w:r>
      <w:r w:rsidR="00C42D2C">
        <w:rPr>
          <w:lang w:val="en-GB" w:eastAsia="zh-CN"/>
        </w:rPr>
        <w:fldChar w:fldCharType="separate"/>
      </w:r>
      <w:r w:rsidR="00725BFD">
        <w:rPr>
          <w:lang w:val="en-GB" w:eastAsia="zh-CN"/>
        </w:rPr>
        <w:t>[5]</w:t>
      </w:r>
      <w:r w:rsidR="00C42D2C">
        <w:rPr>
          <w:lang w:val="en-GB" w:eastAsia="zh-CN"/>
        </w:rPr>
        <w:fldChar w:fldCharType="end"/>
      </w:r>
      <w:r w:rsidR="00C42D2C">
        <w:rPr>
          <w:lang w:val="en-GB" w:eastAsia="zh-CN"/>
        </w:rPr>
        <w:t xml:space="preserve">. </w:t>
      </w:r>
    </w:p>
    <w:p w14:paraId="5102F9C2" w14:textId="489719BB" w:rsidR="00A704D1" w:rsidRDefault="00A704D1" w:rsidP="007807E8">
      <w:pPr>
        <w:pStyle w:val="Heading3"/>
      </w:pPr>
      <w:r>
        <w:t>PDSCH</w:t>
      </w:r>
    </w:p>
    <w:p w14:paraId="35BFB1B1" w14:textId="48942D0D" w:rsidR="00BC4531" w:rsidRDefault="00A704D1" w:rsidP="00A704D1">
      <w:pPr>
        <w:rPr>
          <w:lang w:eastAsia="zh-CN"/>
        </w:rPr>
      </w:pPr>
      <w:r>
        <w:rPr>
          <w:lang w:eastAsia="zh-CN"/>
        </w:rPr>
        <w:t xml:space="preserve">To </w:t>
      </w:r>
      <w:r w:rsidRPr="00030884">
        <w:rPr>
          <w:lang w:eastAsia="zh-CN"/>
        </w:rPr>
        <w:t>fully utilize the benefits of a flexible resource allocation when using frequency hopping</w:t>
      </w:r>
      <w:r>
        <w:rPr>
          <w:lang w:eastAsia="zh-CN"/>
        </w:rPr>
        <w:t xml:space="preserve">, the </w:t>
      </w:r>
      <w:r w:rsidR="009E12F2">
        <w:rPr>
          <w:lang w:eastAsia="zh-CN"/>
        </w:rPr>
        <w:t xml:space="preserve">downlink </w:t>
      </w:r>
      <w:r>
        <w:rPr>
          <w:lang w:eastAsia="zh-CN"/>
        </w:rPr>
        <w:t xml:space="preserve">resource assignment </w:t>
      </w:r>
      <w:r w:rsidRPr="00030884">
        <w:rPr>
          <w:lang w:eastAsia="zh-CN"/>
        </w:rPr>
        <w:t xml:space="preserve">should </w:t>
      </w:r>
      <w:r>
        <w:rPr>
          <w:lang w:eastAsia="zh-CN"/>
        </w:rPr>
        <w:t xml:space="preserve">be </w:t>
      </w:r>
      <w:r w:rsidRPr="00030884">
        <w:rPr>
          <w:lang w:eastAsia="zh-CN"/>
        </w:rPr>
        <w:t>align</w:t>
      </w:r>
      <w:r>
        <w:rPr>
          <w:lang w:eastAsia="zh-CN"/>
        </w:rPr>
        <w:t>ed</w:t>
      </w:r>
      <w:r w:rsidRPr="00030884">
        <w:rPr>
          <w:lang w:eastAsia="zh-CN"/>
        </w:rPr>
        <w:t xml:space="preserve"> with the resource block groups</w:t>
      </w:r>
      <w:r w:rsidR="00BC4531">
        <w:rPr>
          <w:lang w:eastAsia="zh-CN"/>
        </w:rPr>
        <w:t xml:space="preserve"> for both the </w:t>
      </w:r>
      <w:r w:rsidR="00050C7F">
        <w:rPr>
          <w:lang w:eastAsia="zh-CN"/>
        </w:rPr>
        <w:t xml:space="preserve">two </w:t>
      </w:r>
      <w:r w:rsidR="00BC4531">
        <w:rPr>
          <w:lang w:eastAsia="zh-CN"/>
        </w:rPr>
        <w:t>narrowbands that is used when hopping</w:t>
      </w:r>
      <w:r w:rsidRPr="00030884">
        <w:rPr>
          <w:lang w:eastAsia="zh-CN"/>
        </w:rPr>
        <w:t>.</w:t>
      </w:r>
    </w:p>
    <w:p w14:paraId="392B19CF" w14:textId="2C0556A4" w:rsidR="00B13150" w:rsidRDefault="00B13150" w:rsidP="00B13150">
      <w:pPr>
        <w:pStyle w:val="Heading4"/>
      </w:pPr>
      <w:r>
        <w:t>CE mode A</w:t>
      </w:r>
    </w:p>
    <w:p w14:paraId="5AB5E23A" w14:textId="7A609F5A" w:rsidR="008D5C3C" w:rsidRDefault="00180BA9" w:rsidP="00A704D1">
      <w:pPr>
        <w:rPr>
          <w:lang w:eastAsia="zh-CN"/>
        </w:rPr>
      </w:pPr>
      <w:r>
        <w:rPr>
          <w:lang w:eastAsia="zh-CN"/>
        </w:rPr>
        <w:t>The</w:t>
      </w:r>
      <w:r w:rsidR="008D5C3C">
        <w:rPr>
          <w:lang w:eastAsia="zh-CN"/>
        </w:rPr>
        <w:t xml:space="preserve"> alignment of the RBGs to the narrowbands differs </w:t>
      </w:r>
      <w:r w:rsidR="00050C7F">
        <w:rPr>
          <w:lang w:eastAsia="zh-CN"/>
        </w:rPr>
        <w:t xml:space="preserve">both </w:t>
      </w:r>
      <w:r w:rsidR="008D5C3C">
        <w:rPr>
          <w:lang w:eastAsia="zh-CN"/>
        </w:rPr>
        <w:t xml:space="preserve">for different system bandwidths and </w:t>
      </w:r>
      <w:r w:rsidR="00050C7F">
        <w:rPr>
          <w:lang w:eastAsia="zh-CN"/>
        </w:rPr>
        <w:t xml:space="preserve">for the </w:t>
      </w:r>
      <w:r w:rsidR="008D5C3C">
        <w:rPr>
          <w:lang w:eastAsia="zh-CN"/>
        </w:rPr>
        <w:t xml:space="preserve">different narrowbands within a system bandwidth, see e.g. </w:t>
      </w:r>
      <w:r w:rsidR="008D5C3C">
        <w:rPr>
          <w:lang w:eastAsia="zh-CN"/>
        </w:rPr>
        <w:fldChar w:fldCharType="begin"/>
      </w:r>
      <w:r w:rsidR="008D5C3C">
        <w:rPr>
          <w:lang w:eastAsia="zh-CN"/>
        </w:rPr>
        <w:instrText xml:space="preserve"> REF _Ref505936912 \h </w:instrText>
      </w:r>
      <w:r w:rsidR="008D5C3C">
        <w:rPr>
          <w:lang w:eastAsia="zh-CN"/>
        </w:rPr>
      </w:r>
      <w:r w:rsidR="008D5C3C">
        <w:rPr>
          <w:lang w:eastAsia="zh-CN"/>
        </w:rPr>
        <w:fldChar w:fldCharType="separate"/>
      </w:r>
      <w:r w:rsidR="00725BFD">
        <w:t xml:space="preserve">Figure </w:t>
      </w:r>
      <w:r w:rsidR="00725BFD">
        <w:rPr>
          <w:noProof/>
        </w:rPr>
        <w:t>5</w:t>
      </w:r>
      <w:r w:rsidR="008D5C3C">
        <w:rPr>
          <w:lang w:eastAsia="zh-CN"/>
        </w:rPr>
        <w:fldChar w:fldCharType="end"/>
      </w:r>
      <w:r w:rsidR="008D5C3C">
        <w:rPr>
          <w:lang w:eastAsia="zh-CN"/>
        </w:rPr>
        <w:t>.</w:t>
      </w:r>
      <w:r>
        <w:rPr>
          <w:lang w:eastAsia="zh-CN"/>
        </w:rPr>
        <w:t xml:space="preserve"> </w:t>
      </w:r>
      <w:r>
        <w:rPr>
          <w:lang w:eastAsia="zh-CN"/>
        </w:rPr>
        <w:fldChar w:fldCharType="begin"/>
      </w:r>
      <w:r>
        <w:rPr>
          <w:lang w:eastAsia="zh-CN"/>
        </w:rPr>
        <w:instrText xml:space="preserve"> REF _Ref513640592 \h </w:instrText>
      </w:r>
      <w:r>
        <w:rPr>
          <w:lang w:eastAsia="zh-CN"/>
        </w:rPr>
      </w:r>
      <w:r>
        <w:rPr>
          <w:lang w:eastAsia="zh-CN"/>
        </w:rPr>
        <w:fldChar w:fldCharType="separate"/>
      </w:r>
      <w:r w:rsidR="00725BFD">
        <w:t xml:space="preserve">Table </w:t>
      </w:r>
      <w:r w:rsidR="00725BFD">
        <w:rPr>
          <w:noProof/>
        </w:rPr>
        <w:t>3</w:t>
      </w:r>
      <w:r>
        <w:rPr>
          <w:lang w:eastAsia="zh-CN"/>
        </w:rPr>
        <w:fldChar w:fldCharType="end"/>
      </w:r>
      <w:r>
        <w:rPr>
          <w:lang w:eastAsia="zh-CN"/>
        </w:rPr>
        <w:t xml:space="preserve"> summarizes the </w:t>
      </w:r>
      <w:r w:rsidR="00F879FF">
        <w:rPr>
          <w:lang w:eastAsia="zh-CN"/>
        </w:rPr>
        <w:t xml:space="preserve">alignment of the narrowbands to the </w:t>
      </w:r>
      <w:r w:rsidR="009A1C15">
        <w:rPr>
          <w:lang w:eastAsia="zh-CN"/>
        </w:rPr>
        <w:t>resource block groups for the respective system bandwidths.</w:t>
      </w:r>
    </w:p>
    <w:p w14:paraId="65264E41" w14:textId="22DE87A7" w:rsidR="00180BA9" w:rsidRDefault="00180BA9" w:rsidP="00180BA9">
      <w:pPr>
        <w:pStyle w:val="Caption"/>
        <w:keepNext/>
      </w:pPr>
      <w:bookmarkStart w:id="161" w:name="_Ref513640592"/>
      <w:r>
        <w:lastRenderedPageBreak/>
        <w:t xml:space="preserve">Table </w:t>
      </w:r>
      <w:r w:rsidR="0092669D">
        <w:fldChar w:fldCharType="begin"/>
      </w:r>
      <w:r w:rsidR="0092669D">
        <w:instrText xml:space="preserve"> SEQ Table \* ARABIC </w:instrText>
      </w:r>
      <w:r w:rsidR="0092669D">
        <w:fldChar w:fldCharType="separate"/>
      </w:r>
      <w:r w:rsidR="00725BFD">
        <w:rPr>
          <w:noProof/>
        </w:rPr>
        <w:t>3</w:t>
      </w:r>
      <w:r w:rsidR="0092669D">
        <w:rPr>
          <w:noProof/>
        </w:rPr>
        <w:fldChar w:fldCharType="end"/>
      </w:r>
      <w:bookmarkEnd w:id="161"/>
      <w:r>
        <w:t>: A</w:t>
      </w:r>
      <w:r w:rsidRPr="00180BA9">
        <w:t xml:space="preserve">lignment </w:t>
      </w:r>
      <w:r>
        <w:t>of narrowband to resource block groups.</w:t>
      </w:r>
    </w:p>
    <w:tbl>
      <w:tblPr>
        <w:tblStyle w:val="TableGrid"/>
        <w:tblW w:w="9341" w:type="dxa"/>
        <w:jc w:val="center"/>
        <w:tblLook w:val="04A0" w:firstRow="1" w:lastRow="0" w:firstColumn="1" w:lastColumn="0" w:noHBand="0" w:noVBand="1"/>
      </w:tblPr>
      <w:tblGrid>
        <w:gridCol w:w="816"/>
        <w:gridCol w:w="863"/>
        <w:gridCol w:w="677"/>
        <w:gridCol w:w="818"/>
        <w:gridCol w:w="6167"/>
      </w:tblGrid>
      <w:tr w:rsidR="008D5C3C" w14:paraId="35B684A2" w14:textId="77777777" w:rsidTr="00160760">
        <w:trPr>
          <w:trHeight w:val="1031"/>
          <w:jc w:val="center"/>
        </w:trPr>
        <w:tc>
          <w:tcPr>
            <w:tcW w:w="816" w:type="dxa"/>
            <w:tcBorders>
              <w:top w:val="double" w:sz="4" w:space="0" w:color="auto"/>
              <w:left w:val="double" w:sz="4" w:space="0" w:color="auto"/>
              <w:bottom w:val="single" w:sz="4" w:space="0" w:color="auto"/>
              <w:right w:val="single" w:sz="4" w:space="0" w:color="auto"/>
            </w:tcBorders>
            <w:shd w:val="clear" w:color="auto" w:fill="D5DCE4" w:themeFill="text2" w:themeFillTint="33"/>
            <w:vAlign w:val="center"/>
            <w:hideMark/>
          </w:tcPr>
          <w:p w14:paraId="3429644F" w14:textId="77777777" w:rsidR="008D5C3C" w:rsidRDefault="008D5C3C" w:rsidP="00160760">
            <w:pPr>
              <w:keepNext/>
              <w:keepLines/>
              <w:spacing w:after="0"/>
              <w:jc w:val="center"/>
              <w:rPr>
                <w:rFonts w:cs="Arial"/>
              </w:rPr>
            </w:pPr>
            <w:r>
              <w:rPr>
                <w:color w:val="000000"/>
                <w:sz w:val="18"/>
                <w:szCs w:val="18"/>
              </w:rPr>
              <w:t>System BW [MHz]</w:t>
            </w:r>
          </w:p>
        </w:tc>
        <w:tc>
          <w:tcPr>
            <w:tcW w:w="863" w:type="dxa"/>
            <w:tcBorders>
              <w:top w:val="doub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32F9F7CD" w14:textId="77777777" w:rsidR="008D5C3C" w:rsidRDefault="008D5C3C" w:rsidP="00160760">
            <w:pPr>
              <w:keepNext/>
              <w:keepLines/>
              <w:spacing w:after="0"/>
              <w:jc w:val="center"/>
              <w:rPr>
                <w:rFonts w:cs="Arial"/>
              </w:rPr>
            </w:pPr>
            <w:r>
              <w:rPr>
                <w:color w:val="000000"/>
                <w:sz w:val="18"/>
                <w:szCs w:val="18"/>
              </w:rPr>
              <w:t>Total number of PRBs</w:t>
            </w:r>
          </w:p>
        </w:tc>
        <w:tc>
          <w:tcPr>
            <w:tcW w:w="677" w:type="dxa"/>
            <w:tcBorders>
              <w:top w:val="double" w:sz="4" w:space="0" w:color="auto"/>
              <w:left w:val="single" w:sz="4" w:space="0" w:color="auto"/>
              <w:right w:val="single" w:sz="4" w:space="0" w:color="auto"/>
            </w:tcBorders>
            <w:shd w:val="clear" w:color="auto" w:fill="D5DCE4" w:themeFill="text2" w:themeFillTint="33"/>
            <w:vAlign w:val="center"/>
          </w:tcPr>
          <w:p w14:paraId="3AA449CA" w14:textId="77777777" w:rsidR="008D5C3C" w:rsidRDefault="008D5C3C" w:rsidP="00160760">
            <w:pPr>
              <w:keepNext/>
              <w:keepLines/>
              <w:spacing w:after="0"/>
              <w:jc w:val="center"/>
              <w:rPr>
                <w:color w:val="000000"/>
                <w:sz w:val="18"/>
                <w:szCs w:val="18"/>
              </w:rPr>
            </w:pPr>
            <w:r>
              <w:rPr>
                <w:color w:val="000000"/>
                <w:sz w:val="18"/>
                <w:szCs w:val="18"/>
              </w:rPr>
              <w:t>RBG size</w:t>
            </w:r>
          </w:p>
        </w:tc>
        <w:tc>
          <w:tcPr>
            <w:tcW w:w="818" w:type="dxa"/>
            <w:tcBorders>
              <w:top w:val="double" w:sz="4" w:space="0" w:color="auto"/>
              <w:left w:val="single" w:sz="4" w:space="0" w:color="auto"/>
              <w:bottom w:val="single" w:sz="4" w:space="0" w:color="auto"/>
              <w:right w:val="double" w:sz="4" w:space="0" w:color="auto"/>
            </w:tcBorders>
            <w:shd w:val="clear" w:color="auto" w:fill="D5DCE4" w:themeFill="text2" w:themeFillTint="33"/>
            <w:vAlign w:val="center"/>
            <w:hideMark/>
          </w:tcPr>
          <w:p w14:paraId="4BAFADD0" w14:textId="77777777" w:rsidR="008D5C3C" w:rsidRDefault="008D5C3C" w:rsidP="00160760">
            <w:pPr>
              <w:keepNext/>
              <w:keepLines/>
              <w:spacing w:after="0"/>
              <w:jc w:val="center"/>
              <w:rPr>
                <w:rFonts w:cs="Arial"/>
              </w:rPr>
            </w:pPr>
            <w:r>
              <w:rPr>
                <w:color w:val="000000"/>
                <w:sz w:val="18"/>
                <w:szCs w:val="18"/>
              </w:rPr>
              <w:t>Number of NB</w:t>
            </w:r>
          </w:p>
        </w:tc>
        <w:tc>
          <w:tcPr>
            <w:tcW w:w="6167" w:type="dxa"/>
            <w:tcBorders>
              <w:top w:val="double" w:sz="4" w:space="0" w:color="auto"/>
              <w:left w:val="double" w:sz="4" w:space="0" w:color="auto"/>
              <w:right w:val="double" w:sz="4" w:space="0" w:color="auto"/>
            </w:tcBorders>
            <w:shd w:val="clear" w:color="auto" w:fill="D5DCE4" w:themeFill="text2" w:themeFillTint="33"/>
            <w:vAlign w:val="center"/>
            <w:hideMark/>
          </w:tcPr>
          <w:p w14:paraId="2DABDFD4" w14:textId="0C53282E" w:rsidR="008D5C3C" w:rsidRDefault="00180BA9" w:rsidP="00160760">
            <w:pPr>
              <w:keepNext/>
              <w:keepLines/>
              <w:spacing w:after="0"/>
              <w:jc w:val="center"/>
              <w:rPr>
                <w:rFonts w:cs="Arial"/>
              </w:rPr>
            </w:pPr>
            <w:r w:rsidRPr="00180BA9">
              <w:rPr>
                <w:sz w:val="18"/>
              </w:rPr>
              <w:t>Alignment of narrowband to resource block groups</w:t>
            </w:r>
          </w:p>
        </w:tc>
      </w:tr>
      <w:tr w:rsidR="008D5C3C" w14:paraId="67550A64" w14:textId="77777777" w:rsidTr="00160760">
        <w:trPr>
          <w:jc w:val="center"/>
        </w:trPr>
        <w:tc>
          <w:tcPr>
            <w:tcW w:w="816" w:type="dxa"/>
            <w:tcBorders>
              <w:top w:val="single" w:sz="4" w:space="0" w:color="auto"/>
              <w:left w:val="double" w:sz="4" w:space="0" w:color="auto"/>
              <w:bottom w:val="single" w:sz="4" w:space="0" w:color="auto"/>
              <w:right w:val="single" w:sz="4" w:space="0" w:color="auto"/>
            </w:tcBorders>
            <w:vAlign w:val="center"/>
            <w:hideMark/>
          </w:tcPr>
          <w:p w14:paraId="360B12AB" w14:textId="77777777" w:rsidR="008D5C3C" w:rsidRDefault="008D5C3C" w:rsidP="00160760">
            <w:pPr>
              <w:keepNext/>
              <w:keepLines/>
              <w:spacing w:after="0"/>
              <w:jc w:val="center"/>
              <w:rPr>
                <w:rFonts w:cs="Arial"/>
              </w:rPr>
            </w:pPr>
            <w:r>
              <w:rPr>
                <w:color w:val="000000"/>
                <w:sz w:val="18"/>
                <w:szCs w:val="18"/>
              </w:rPr>
              <w:t>1.4</w:t>
            </w:r>
          </w:p>
        </w:tc>
        <w:tc>
          <w:tcPr>
            <w:tcW w:w="863" w:type="dxa"/>
            <w:tcBorders>
              <w:top w:val="single" w:sz="4" w:space="0" w:color="auto"/>
              <w:left w:val="single" w:sz="4" w:space="0" w:color="auto"/>
              <w:bottom w:val="single" w:sz="4" w:space="0" w:color="auto"/>
              <w:right w:val="single" w:sz="4" w:space="0" w:color="auto"/>
            </w:tcBorders>
            <w:vAlign w:val="center"/>
            <w:hideMark/>
          </w:tcPr>
          <w:p w14:paraId="61D7FF76" w14:textId="77777777" w:rsidR="008D5C3C" w:rsidRDefault="008D5C3C" w:rsidP="00160760">
            <w:pPr>
              <w:keepNext/>
              <w:keepLines/>
              <w:spacing w:after="0"/>
              <w:jc w:val="center"/>
              <w:rPr>
                <w:rFonts w:cs="Arial"/>
              </w:rPr>
            </w:pPr>
            <w:r>
              <w:rPr>
                <w:color w:val="000000"/>
                <w:sz w:val="18"/>
                <w:szCs w:val="18"/>
              </w:rPr>
              <w:t>6</w:t>
            </w:r>
          </w:p>
        </w:tc>
        <w:tc>
          <w:tcPr>
            <w:tcW w:w="677" w:type="dxa"/>
            <w:tcBorders>
              <w:top w:val="single" w:sz="4" w:space="0" w:color="auto"/>
              <w:left w:val="single" w:sz="4" w:space="0" w:color="auto"/>
              <w:bottom w:val="single" w:sz="4" w:space="0" w:color="auto"/>
              <w:right w:val="single" w:sz="4" w:space="0" w:color="auto"/>
            </w:tcBorders>
            <w:vAlign w:val="center"/>
          </w:tcPr>
          <w:p w14:paraId="36704DCD" w14:textId="77777777" w:rsidR="008D5C3C" w:rsidRDefault="008D5C3C" w:rsidP="00160760">
            <w:pPr>
              <w:keepNext/>
              <w:keepLines/>
              <w:spacing w:after="0"/>
              <w:jc w:val="center"/>
              <w:rPr>
                <w:color w:val="000000"/>
                <w:sz w:val="18"/>
                <w:szCs w:val="18"/>
              </w:rPr>
            </w:pPr>
            <w:r>
              <w:rPr>
                <w:color w:val="000000"/>
                <w:sz w:val="18"/>
                <w:szCs w:val="18"/>
              </w:rPr>
              <w:t>1</w:t>
            </w:r>
          </w:p>
        </w:tc>
        <w:tc>
          <w:tcPr>
            <w:tcW w:w="818" w:type="dxa"/>
            <w:tcBorders>
              <w:top w:val="single" w:sz="4" w:space="0" w:color="auto"/>
              <w:left w:val="single" w:sz="4" w:space="0" w:color="auto"/>
              <w:bottom w:val="single" w:sz="4" w:space="0" w:color="auto"/>
              <w:right w:val="double" w:sz="4" w:space="0" w:color="auto"/>
            </w:tcBorders>
            <w:vAlign w:val="center"/>
            <w:hideMark/>
          </w:tcPr>
          <w:p w14:paraId="0D657596" w14:textId="77777777" w:rsidR="008D5C3C" w:rsidRDefault="008D5C3C" w:rsidP="00160760">
            <w:pPr>
              <w:keepNext/>
              <w:keepLines/>
              <w:spacing w:after="0"/>
              <w:jc w:val="center"/>
              <w:rPr>
                <w:rFonts w:cs="Arial"/>
              </w:rPr>
            </w:pPr>
            <w:r>
              <w:rPr>
                <w:color w:val="000000"/>
                <w:sz w:val="18"/>
                <w:szCs w:val="18"/>
              </w:rPr>
              <w:t>1</w:t>
            </w:r>
          </w:p>
        </w:tc>
        <w:tc>
          <w:tcPr>
            <w:tcW w:w="6167" w:type="dxa"/>
            <w:tcBorders>
              <w:top w:val="single" w:sz="4" w:space="0" w:color="auto"/>
              <w:left w:val="double" w:sz="4" w:space="0" w:color="auto"/>
              <w:bottom w:val="single" w:sz="4" w:space="0" w:color="auto"/>
              <w:right w:val="double" w:sz="4" w:space="0" w:color="auto"/>
            </w:tcBorders>
            <w:vAlign w:val="center"/>
            <w:hideMark/>
          </w:tcPr>
          <w:p w14:paraId="085CB33E" w14:textId="0B060782" w:rsidR="008D5C3C" w:rsidRPr="003B6794" w:rsidRDefault="008D5C3C" w:rsidP="00160760">
            <w:pPr>
              <w:keepNext/>
              <w:keepLines/>
              <w:spacing w:after="0"/>
              <w:jc w:val="center"/>
              <w:rPr>
                <w:rFonts w:cs="Arial"/>
                <w:sz w:val="18"/>
                <w:szCs w:val="18"/>
              </w:rPr>
            </w:pPr>
            <w:r>
              <w:rPr>
                <w:sz w:val="18"/>
                <w:szCs w:val="18"/>
              </w:rPr>
              <w:t>N/A</w:t>
            </w:r>
          </w:p>
        </w:tc>
      </w:tr>
      <w:tr w:rsidR="008D5C3C" w14:paraId="2CDD38DF" w14:textId="77777777" w:rsidTr="00160760">
        <w:trPr>
          <w:jc w:val="center"/>
        </w:trPr>
        <w:tc>
          <w:tcPr>
            <w:tcW w:w="816" w:type="dxa"/>
            <w:tcBorders>
              <w:top w:val="single" w:sz="4" w:space="0" w:color="auto"/>
              <w:left w:val="double" w:sz="4" w:space="0" w:color="auto"/>
              <w:bottom w:val="single" w:sz="4" w:space="0" w:color="auto"/>
              <w:right w:val="single" w:sz="4" w:space="0" w:color="auto"/>
            </w:tcBorders>
            <w:vAlign w:val="center"/>
            <w:hideMark/>
          </w:tcPr>
          <w:p w14:paraId="447C995C" w14:textId="77777777" w:rsidR="008D5C3C" w:rsidRDefault="008D5C3C" w:rsidP="00160760">
            <w:pPr>
              <w:keepNext/>
              <w:keepLines/>
              <w:spacing w:after="0"/>
              <w:jc w:val="center"/>
              <w:rPr>
                <w:rFonts w:cs="Arial"/>
              </w:rPr>
            </w:pPr>
            <w:r>
              <w:rPr>
                <w:color w:val="000000"/>
                <w:sz w:val="18"/>
                <w:szCs w:val="18"/>
              </w:rPr>
              <w:t>3</w:t>
            </w:r>
          </w:p>
        </w:tc>
        <w:tc>
          <w:tcPr>
            <w:tcW w:w="863" w:type="dxa"/>
            <w:tcBorders>
              <w:top w:val="single" w:sz="4" w:space="0" w:color="auto"/>
              <w:left w:val="single" w:sz="4" w:space="0" w:color="auto"/>
              <w:bottom w:val="single" w:sz="4" w:space="0" w:color="auto"/>
              <w:right w:val="single" w:sz="4" w:space="0" w:color="auto"/>
            </w:tcBorders>
            <w:vAlign w:val="center"/>
            <w:hideMark/>
          </w:tcPr>
          <w:p w14:paraId="7B144200" w14:textId="77777777" w:rsidR="008D5C3C" w:rsidRDefault="008D5C3C" w:rsidP="00160760">
            <w:pPr>
              <w:keepNext/>
              <w:keepLines/>
              <w:spacing w:after="0"/>
              <w:jc w:val="center"/>
              <w:rPr>
                <w:rFonts w:cs="Arial"/>
              </w:rPr>
            </w:pPr>
            <w:r>
              <w:rPr>
                <w:color w:val="000000"/>
                <w:sz w:val="18"/>
                <w:szCs w:val="18"/>
              </w:rPr>
              <w:t>15</w:t>
            </w:r>
          </w:p>
        </w:tc>
        <w:tc>
          <w:tcPr>
            <w:tcW w:w="677" w:type="dxa"/>
            <w:tcBorders>
              <w:top w:val="single" w:sz="4" w:space="0" w:color="auto"/>
              <w:left w:val="single" w:sz="4" w:space="0" w:color="auto"/>
              <w:bottom w:val="single" w:sz="4" w:space="0" w:color="auto"/>
              <w:right w:val="single" w:sz="4" w:space="0" w:color="auto"/>
            </w:tcBorders>
            <w:vAlign w:val="center"/>
          </w:tcPr>
          <w:p w14:paraId="5334E333" w14:textId="77777777" w:rsidR="008D5C3C" w:rsidRDefault="008D5C3C" w:rsidP="00160760">
            <w:pPr>
              <w:keepNext/>
              <w:keepLines/>
              <w:spacing w:after="0"/>
              <w:jc w:val="center"/>
              <w:rPr>
                <w:color w:val="000000"/>
                <w:sz w:val="18"/>
                <w:szCs w:val="18"/>
              </w:rPr>
            </w:pPr>
            <w:r>
              <w:rPr>
                <w:color w:val="000000"/>
                <w:sz w:val="18"/>
                <w:szCs w:val="18"/>
              </w:rPr>
              <w:t>2</w:t>
            </w:r>
          </w:p>
        </w:tc>
        <w:tc>
          <w:tcPr>
            <w:tcW w:w="818" w:type="dxa"/>
            <w:tcBorders>
              <w:top w:val="single" w:sz="4" w:space="0" w:color="auto"/>
              <w:left w:val="single" w:sz="4" w:space="0" w:color="auto"/>
              <w:bottom w:val="single" w:sz="4" w:space="0" w:color="auto"/>
              <w:right w:val="double" w:sz="4" w:space="0" w:color="auto"/>
            </w:tcBorders>
            <w:vAlign w:val="center"/>
            <w:hideMark/>
          </w:tcPr>
          <w:p w14:paraId="2EFCF644" w14:textId="77777777" w:rsidR="008D5C3C" w:rsidRPr="00B63B71" w:rsidRDefault="008D5C3C" w:rsidP="00160760">
            <w:pPr>
              <w:keepNext/>
              <w:keepLines/>
              <w:spacing w:after="0"/>
              <w:jc w:val="center"/>
              <w:rPr>
                <w:rFonts w:cs="Arial"/>
                <w:sz w:val="16"/>
              </w:rPr>
            </w:pPr>
            <w:r w:rsidRPr="00B63B71">
              <w:rPr>
                <w:color w:val="000000"/>
                <w:sz w:val="16"/>
                <w:szCs w:val="18"/>
              </w:rPr>
              <w:t>2</w:t>
            </w:r>
          </w:p>
        </w:tc>
        <w:tc>
          <w:tcPr>
            <w:tcW w:w="6167" w:type="dxa"/>
            <w:tcBorders>
              <w:top w:val="single" w:sz="4" w:space="0" w:color="auto"/>
              <w:left w:val="double" w:sz="4" w:space="0" w:color="auto"/>
              <w:bottom w:val="single" w:sz="4" w:space="0" w:color="auto"/>
              <w:right w:val="double" w:sz="4" w:space="0" w:color="auto"/>
            </w:tcBorders>
            <w:vAlign w:val="center"/>
            <w:hideMark/>
          </w:tcPr>
          <w:p w14:paraId="0E06905F" w14:textId="3D261E91" w:rsidR="008D5C3C" w:rsidRPr="003B6794" w:rsidRDefault="008D5C3C" w:rsidP="00160760">
            <w:pPr>
              <w:keepNext/>
              <w:keepLines/>
              <w:spacing w:after="0"/>
              <w:jc w:val="center"/>
              <w:rPr>
                <w:rFonts w:cs="Arial"/>
                <w:sz w:val="18"/>
                <w:szCs w:val="18"/>
              </w:rPr>
            </w:pPr>
            <w:r>
              <w:rPr>
                <w:color w:val="000000"/>
                <w:sz w:val="18"/>
                <w:szCs w:val="18"/>
              </w:rPr>
              <w:t xml:space="preserve">NB1 </w:t>
            </w:r>
            <w:r w:rsidR="00180BA9">
              <w:rPr>
                <w:color w:val="000000"/>
                <w:sz w:val="18"/>
                <w:szCs w:val="18"/>
              </w:rPr>
              <w:t xml:space="preserve">is </w:t>
            </w:r>
            <w:r>
              <w:rPr>
                <w:color w:val="000000"/>
                <w:sz w:val="18"/>
                <w:szCs w:val="18"/>
              </w:rPr>
              <w:t>shifted 1 PRB</w:t>
            </w:r>
            <w:r w:rsidR="00180BA9">
              <w:rPr>
                <w:color w:val="000000"/>
                <w:sz w:val="18"/>
                <w:szCs w:val="18"/>
              </w:rPr>
              <w:t xml:space="preserve"> compared to NB0</w:t>
            </w:r>
          </w:p>
        </w:tc>
      </w:tr>
      <w:tr w:rsidR="008D5C3C" w14:paraId="77845476" w14:textId="77777777" w:rsidTr="00160760">
        <w:trPr>
          <w:jc w:val="center"/>
        </w:trPr>
        <w:tc>
          <w:tcPr>
            <w:tcW w:w="816" w:type="dxa"/>
            <w:tcBorders>
              <w:top w:val="single" w:sz="4" w:space="0" w:color="auto"/>
              <w:left w:val="double" w:sz="4" w:space="0" w:color="auto"/>
              <w:bottom w:val="single" w:sz="4" w:space="0" w:color="auto"/>
              <w:right w:val="single" w:sz="4" w:space="0" w:color="auto"/>
            </w:tcBorders>
            <w:vAlign w:val="center"/>
            <w:hideMark/>
          </w:tcPr>
          <w:p w14:paraId="3DDB8ADE" w14:textId="77777777" w:rsidR="008D5C3C" w:rsidRDefault="008D5C3C" w:rsidP="00160760">
            <w:pPr>
              <w:keepNext/>
              <w:keepLines/>
              <w:spacing w:after="0"/>
              <w:jc w:val="center"/>
              <w:rPr>
                <w:rFonts w:cs="Arial"/>
              </w:rPr>
            </w:pPr>
            <w:r>
              <w:rPr>
                <w:color w:val="000000"/>
                <w:sz w:val="18"/>
                <w:szCs w:val="18"/>
              </w:rPr>
              <w:t>5</w:t>
            </w:r>
          </w:p>
        </w:tc>
        <w:tc>
          <w:tcPr>
            <w:tcW w:w="863" w:type="dxa"/>
            <w:tcBorders>
              <w:top w:val="single" w:sz="4" w:space="0" w:color="auto"/>
              <w:left w:val="single" w:sz="4" w:space="0" w:color="auto"/>
              <w:bottom w:val="single" w:sz="4" w:space="0" w:color="auto"/>
              <w:right w:val="single" w:sz="4" w:space="0" w:color="auto"/>
            </w:tcBorders>
            <w:vAlign w:val="center"/>
            <w:hideMark/>
          </w:tcPr>
          <w:p w14:paraId="2A6B47E8" w14:textId="77777777" w:rsidR="008D5C3C" w:rsidRDefault="008D5C3C" w:rsidP="00160760">
            <w:pPr>
              <w:keepNext/>
              <w:keepLines/>
              <w:spacing w:after="0"/>
              <w:jc w:val="center"/>
              <w:rPr>
                <w:rFonts w:cs="Arial"/>
              </w:rPr>
            </w:pPr>
            <w:r>
              <w:rPr>
                <w:color w:val="000000"/>
                <w:sz w:val="18"/>
                <w:szCs w:val="18"/>
              </w:rPr>
              <w:t>25</w:t>
            </w:r>
          </w:p>
        </w:tc>
        <w:tc>
          <w:tcPr>
            <w:tcW w:w="677" w:type="dxa"/>
            <w:tcBorders>
              <w:top w:val="single" w:sz="4" w:space="0" w:color="auto"/>
              <w:left w:val="single" w:sz="4" w:space="0" w:color="auto"/>
              <w:bottom w:val="single" w:sz="4" w:space="0" w:color="auto"/>
              <w:right w:val="single" w:sz="4" w:space="0" w:color="auto"/>
            </w:tcBorders>
            <w:vAlign w:val="center"/>
          </w:tcPr>
          <w:p w14:paraId="70B26047" w14:textId="77777777" w:rsidR="008D5C3C" w:rsidRDefault="008D5C3C" w:rsidP="00160760">
            <w:pPr>
              <w:keepNext/>
              <w:keepLines/>
              <w:spacing w:after="0"/>
              <w:jc w:val="center"/>
              <w:rPr>
                <w:color w:val="000000"/>
                <w:sz w:val="18"/>
                <w:szCs w:val="18"/>
              </w:rPr>
            </w:pPr>
            <w:r>
              <w:rPr>
                <w:color w:val="000000"/>
                <w:sz w:val="18"/>
                <w:szCs w:val="18"/>
              </w:rPr>
              <w:t>2</w:t>
            </w:r>
          </w:p>
        </w:tc>
        <w:tc>
          <w:tcPr>
            <w:tcW w:w="818" w:type="dxa"/>
            <w:tcBorders>
              <w:top w:val="single" w:sz="4" w:space="0" w:color="auto"/>
              <w:left w:val="single" w:sz="4" w:space="0" w:color="auto"/>
              <w:bottom w:val="single" w:sz="4" w:space="0" w:color="auto"/>
              <w:right w:val="double" w:sz="4" w:space="0" w:color="auto"/>
            </w:tcBorders>
            <w:vAlign w:val="center"/>
            <w:hideMark/>
          </w:tcPr>
          <w:p w14:paraId="06246B33" w14:textId="77777777" w:rsidR="008D5C3C" w:rsidRPr="00B63B71" w:rsidRDefault="008D5C3C" w:rsidP="00160760">
            <w:pPr>
              <w:keepNext/>
              <w:keepLines/>
              <w:spacing w:after="0"/>
              <w:jc w:val="center"/>
              <w:rPr>
                <w:rFonts w:cs="Arial"/>
                <w:sz w:val="16"/>
              </w:rPr>
            </w:pPr>
            <w:r w:rsidRPr="00B63B71">
              <w:rPr>
                <w:sz w:val="16"/>
              </w:rPr>
              <w:t>4</w:t>
            </w:r>
          </w:p>
        </w:tc>
        <w:tc>
          <w:tcPr>
            <w:tcW w:w="6167" w:type="dxa"/>
            <w:tcBorders>
              <w:top w:val="single" w:sz="4" w:space="0" w:color="auto"/>
              <w:left w:val="double" w:sz="4" w:space="0" w:color="auto"/>
              <w:bottom w:val="single" w:sz="4" w:space="0" w:color="auto"/>
              <w:right w:val="double" w:sz="4" w:space="0" w:color="auto"/>
            </w:tcBorders>
            <w:vAlign w:val="center"/>
            <w:hideMark/>
          </w:tcPr>
          <w:p w14:paraId="7F298947" w14:textId="5AC19D6D" w:rsidR="008D5C3C" w:rsidRPr="003B6794" w:rsidRDefault="008D5C3C" w:rsidP="008D5C3C">
            <w:pPr>
              <w:keepNext/>
              <w:keepLines/>
              <w:spacing w:after="0"/>
              <w:jc w:val="center"/>
              <w:rPr>
                <w:rFonts w:cs="Arial"/>
                <w:sz w:val="18"/>
                <w:szCs w:val="18"/>
              </w:rPr>
            </w:pPr>
            <w:r>
              <w:rPr>
                <w:sz w:val="18"/>
                <w:szCs w:val="18"/>
              </w:rPr>
              <w:t xml:space="preserve">Upper half group of narrowbands (NB2 and NB3) </w:t>
            </w:r>
            <w:r w:rsidR="00180BA9">
              <w:rPr>
                <w:sz w:val="18"/>
                <w:szCs w:val="18"/>
              </w:rPr>
              <w:t xml:space="preserve">is </w:t>
            </w:r>
            <w:r>
              <w:rPr>
                <w:sz w:val="18"/>
                <w:szCs w:val="18"/>
              </w:rPr>
              <w:t>shifted 1 PRB compared to lower half group of narrowbands (NB0 and NB1)</w:t>
            </w:r>
          </w:p>
        </w:tc>
      </w:tr>
      <w:tr w:rsidR="008D5C3C" w14:paraId="405D001B" w14:textId="77777777" w:rsidTr="00160760">
        <w:trPr>
          <w:jc w:val="center"/>
        </w:trPr>
        <w:tc>
          <w:tcPr>
            <w:tcW w:w="816" w:type="dxa"/>
            <w:tcBorders>
              <w:top w:val="single" w:sz="4" w:space="0" w:color="auto"/>
              <w:left w:val="double" w:sz="4" w:space="0" w:color="auto"/>
              <w:bottom w:val="single" w:sz="4" w:space="0" w:color="auto"/>
              <w:right w:val="single" w:sz="4" w:space="0" w:color="auto"/>
            </w:tcBorders>
            <w:vAlign w:val="center"/>
            <w:hideMark/>
          </w:tcPr>
          <w:p w14:paraId="2AA933D2" w14:textId="77777777" w:rsidR="008D5C3C" w:rsidRPr="00085148" w:rsidRDefault="008D5C3C" w:rsidP="00160760">
            <w:pPr>
              <w:keepNext/>
              <w:keepLines/>
              <w:spacing w:after="0"/>
              <w:jc w:val="center"/>
              <w:rPr>
                <w:rFonts w:cs="Arial"/>
              </w:rPr>
            </w:pPr>
            <w:r w:rsidRPr="00085148">
              <w:rPr>
                <w:color w:val="000000"/>
                <w:sz w:val="18"/>
                <w:szCs w:val="18"/>
              </w:rPr>
              <w:t>10</w:t>
            </w:r>
          </w:p>
        </w:tc>
        <w:tc>
          <w:tcPr>
            <w:tcW w:w="863" w:type="dxa"/>
            <w:tcBorders>
              <w:top w:val="single" w:sz="4" w:space="0" w:color="auto"/>
              <w:left w:val="single" w:sz="4" w:space="0" w:color="auto"/>
              <w:bottom w:val="single" w:sz="4" w:space="0" w:color="auto"/>
              <w:right w:val="single" w:sz="4" w:space="0" w:color="auto"/>
            </w:tcBorders>
            <w:vAlign w:val="center"/>
            <w:hideMark/>
          </w:tcPr>
          <w:p w14:paraId="3835C9FE" w14:textId="77777777" w:rsidR="008D5C3C" w:rsidRPr="00085148" w:rsidRDefault="008D5C3C" w:rsidP="00160760">
            <w:pPr>
              <w:keepNext/>
              <w:keepLines/>
              <w:spacing w:after="0"/>
              <w:jc w:val="center"/>
              <w:rPr>
                <w:rFonts w:cs="Arial"/>
              </w:rPr>
            </w:pPr>
            <w:r w:rsidRPr="00085148">
              <w:rPr>
                <w:color w:val="000000"/>
                <w:sz w:val="18"/>
                <w:szCs w:val="18"/>
              </w:rPr>
              <w:t>50</w:t>
            </w:r>
          </w:p>
        </w:tc>
        <w:tc>
          <w:tcPr>
            <w:tcW w:w="677" w:type="dxa"/>
            <w:tcBorders>
              <w:top w:val="single" w:sz="4" w:space="0" w:color="auto"/>
              <w:left w:val="single" w:sz="4" w:space="0" w:color="auto"/>
              <w:bottom w:val="single" w:sz="4" w:space="0" w:color="auto"/>
              <w:right w:val="single" w:sz="4" w:space="0" w:color="auto"/>
            </w:tcBorders>
            <w:vAlign w:val="center"/>
          </w:tcPr>
          <w:p w14:paraId="0292F2CA" w14:textId="77777777" w:rsidR="008D5C3C" w:rsidRPr="00085148" w:rsidRDefault="008D5C3C" w:rsidP="00160760">
            <w:pPr>
              <w:keepNext/>
              <w:keepLines/>
              <w:spacing w:after="0"/>
              <w:jc w:val="center"/>
              <w:rPr>
                <w:color w:val="000000"/>
                <w:sz w:val="18"/>
                <w:szCs w:val="18"/>
              </w:rPr>
            </w:pPr>
            <w:r w:rsidRPr="00085148">
              <w:rPr>
                <w:color w:val="000000"/>
                <w:sz w:val="18"/>
                <w:szCs w:val="18"/>
              </w:rPr>
              <w:t>3</w:t>
            </w:r>
          </w:p>
        </w:tc>
        <w:tc>
          <w:tcPr>
            <w:tcW w:w="818" w:type="dxa"/>
            <w:tcBorders>
              <w:top w:val="single" w:sz="4" w:space="0" w:color="auto"/>
              <w:left w:val="single" w:sz="4" w:space="0" w:color="auto"/>
              <w:bottom w:val="single" w:sz="4" w:space="0" w:color="auto"/>
              <w:right w:val="double" w:sz="4" w:space="0" w:color="auto"/>
            </w:tcBorders>
            <w:vAlign w:val="center"/>
            <w:hideMark/>
          </w:tcPr>
          <w:p w14:paraId="5A78D6DE" w14:textId="77777777" w:rsidR="008D5C3C" w:rsidRPr="00B63B71" w:rsidRDefault="008D5C3C" w:rsidP="00160760">
            <w:pPr>
              <w:keepNext/>
              <w:keepLines/>
              <w:spacing w:after="0"/>
              <w:jc w:val="center"/>
              <w:rPr>
                <w:rFonts w:cs="Arial"/>
                <w:sz w:val="16"/>
              </w:rPr>
            </w:pPr>
            <w:r w:rsidRPr="00B63B71">
              <w:rPr>
                <w:sz w:val="16"/>
              </w:rPr>
              <w:t>8</w:t>
            </w:r>
          </w:p>
        </w:tc>
        <w:tc>
          <w:tcPr>
            <w:tcW w:w="6167" w:type="dxa"/>
            <w:tcBorders>
              <w:top w:val="single" w:sz="4" w:space="0" w:color="auto"/>
              <w:left w:val="double" w:sz="4" w:space="0" w:color="auto"/>
              <w:bottom w:val="single" w:sz="4" w:space="0" w:color="auto"/>
              <w:right w:val="double" w:sz="4" w:space="0" w:color="auto"/>
            </w:tcBorders>
            <w:vAlign w:val="center"/>
            <w:hideMark/>
          </w:tcPr>
          <w:p w14:paraId="68D7F849" w14:textId="39C7EEDB" w:rsidR="008D5C3C" w:rsidRPr="003B6794" w:rsidRDefault="008D5C3C" w:rsidP="00160760">
            <w:pPr>
              <w:keepNext/>
              <w:keepLines/>
              <w:spacing w:after="0"/>
              <w:jc w:val="center"/>
              <w:rPr>
                <w:rFonts w:cs="Arial"/>
                <w:sz w:val="18"/>
                <w:szCs w:val="18"/>
              </w:rPr>
            </w:pPr>
            <w:r>
              <w:rPr>
                <w:sz w:val="18"/>
                <w:szCs w:val="18"/>
              </w:rPr>
              <w:t>All narrowbands have the same alignment to the resource block groups</w:t>
            </w:r>
          </w:p>
        </w:tc>
      </w:tr>
      <w:tr w:rsidR="008D5C3C" w14:paraId="1CBB2D4C" w14:textId="77777777" w:rsidTr="00160760">
        <w:trPr>
          <w:trHeight w:val="70"/>
          <w:jc w:val="center"/>
        </w:trPr>
        <w:tc>
          <w:tcPr>
            <w:tcW w:w="816" w:type="dxa"/>
            <w:tcBorders>
              <w:top w:val="single" w:sz="4" w:space="0" w:color="auto"/>
              <w:left w:val="double" w:sz="4" w:space="0" w:color="auto"/>
              <w:bottom w:val="single" w:sz="4" w:space="0" w:color="auto"/>
              <w:right w:val="single" w:sz="4" w:space="0" w:color="auto"/>
            </w:tcBorders>
            <w:vAlign w:val="center"/>
            <w:hideMark/>
          </w:tcPr>
          <w:p w14:paraId="4AD9E1C0" w14:textId="77777777" w:rsidR="008D5C3C" w:rsidRDefault="008D5C3C" w:rsidP="00160760">
            <w:pPr>
              <w:keepNext/>
              <w:keepLines/>
              <w:spacing w:after="0"/>
              <w:jc w:val="center"/>
              <w:rPr>
                <w:rFonts w:cs="Arial"/>
              </w:rPr>
            </w:pPr>
            <w:r>
              <w:rPr>
                <w:color w:val="000000"/>
                <w:sz w:val="18"/>
                <w:szCs w:val="18"/>
              </w:rPr>
              <w:t>15</w:t>
            </w:r>
          </w:p>
        </w:tc>
        <w:tc>
          <w:tcPr>
            <w:tcW w:w="863" w:type="dxa"/>
            <w:tcBorders>
              <w:top w:val="single" w:sz="4" w:space="0" w:color="auto"/>
              <w:left w:val="single" w:sz="4" w:space="0" w:color="auto"/>
              <w:bottom w:val="single" w:sz="4" w:space="0" w:color="auto"/>
              <w:right w:val="single" w:sz="4" w:space="0" w:color="auto"/>
            </w:tcBorders>
            <w:vAlign w:val="center"/>
            <w:hideMark/>
          </w:tcPr>
          <w:p w14:paraId="23B669B4" w14:textId="77777777" w:rsidR="008D5C3C" w:rsidRDefault="008D5C3C" w:rsidP="00160760">
            <w:pPr>
              <w:keepNext/>
              <w:keepLines/>
              <w:spacing w:after="0"/>
              <w:jc w:val="center"/>
              <w:rPr>
                <w:rFonts w:cs="Arial"/>
              </w:rPr>
            </w:pPr>
            <w:r>
              <w:rPr>
                <w:color w:val="000000"/>
                <w:sz w:val="18"/>
                <w:szCs w:val="18"/>
              </w:rPr>
              <w:t>75</w:t>
            </w:r>
          </w:p>
        </w:tc>
        <w:tc>
          <w:tcPr>
            <w:tcW w:w="677" w:type="dxa"/>
            <w:tcBorders>
              <w:top w:val="single" w:sz="4" w:space="0" w:color="auto"/>
              <w:left w:val="single" w:sz="4" w:space="0" w:color="auto"/>
              <w:bottom w:val="single" w:sz="4" w:space="0" w:color="auto"/>
              <w:right w:val="single" w:sz="4" w:space="0" w:color="auto"/>
            </w:tcBorders>
            <w:vAlign w:val="center"/>
          </w:tcPr>
          <w:p w14:paraId="2801E7E6" w14:textId="77777777" w:rsidR="008D5C3C" w:rsidRDefault="008D5C3C" w:rsidP="00160760">
            <w:pPr>
              <w:keepNext/>
              <w:keepLines/>
              <w:spacing w:after="0"/>
              <w:jc w:val="center"/>
              <w:rPr>
                <w:color w:val="000000"/>
                <w:sz w:val="18"/>
                <w:szCs w:val="18"/>
              </w:rPr>
            </w:pPr>
            <w:r>
              <w:rPr>
                <w:color w:val="000000"/>
                <w:sz w:val="18"/>
                <w:szCs w:val="18"/>
              </w:rPr>
              <w:t>4</w:t>
            </w:r>
          </w:p>
        </w:tc>
        <w:tc>
          <w:tcPr>
            <w:tcW w:w="818" w:type="dxa"/>
            <w:tcBorders>
              <w:top w:val="single" w:sz="4" w:space="0" w:color="auto"/>
              <w:left w:val="single" w:sz="4" w:space="0" w:color="auto"/>
              <w:bottom w:val="single" w:sz="4" w:space="0" w:color="auto"/>
              <w:right w:val="double" w:sz="4" w:space="0" w:color="auto"/>
            </w:tcBorders>
            <w:vAlign w:val="center"/>
            <w:hideMark/>
          </w:tcPr>
          <w:p w14:paraId="6C2A1D4C" w14:textId="77777777" w:rsidR="008D5C3C" w:rsidRPr="00B63B71" w:rsidRDefault="008D5C3C" w:rsidP="00160760">
            <w:pPr>
              <w:keepNext/>
              <w:keepLines/>
              <w:spacing w:after="0"/>
              <w:jc w:val="center"/>
              <w:rPr>
                <w:rFonts w:cs="Arial"/>
                <w:sz w:val="16"/>
              </w:rPr>
            </w:pPr>
            <w:r w:rsidRPr="00B63B71">
              <w:rPr>
                <w:sz w:val="16"/>
              </w:rPr>
              <w:t>12</w:t>
            </w:r>
          </w:p>
        </w:tc>
        <w:tc>
          <w:tcPr>
            <w:tcW w:w="6167" w:type="dxa"/>
            <w:tcBorders>
              <w:top w:val="single" w:sz="4" w:space="0" w:color="auto"/>
              <w:left w:val="double" w:sz="4" w:space="0" w:color="auto"/>
              <w:bottom w:val="single" w:sz="4" w:space="0" w:color="auto"/>
              <w:right w:val="double" w:sz="4" w:space="0" w:color="auto"/>
            </w:tcBorders>
            <w:vAlign w:val="center"/>
            <w:hideMark/>
          </w:tcPr>
          <w:p w14:paraId="0CCCEB6F" w14:textId="60B24E07" w:rsidR="00CA08C0" w:rsidRDefault="00CA08C0" w:rsidP="00160760">
            <w:pPr>
              <w:keepNext/>
              <w:keepLines/>
              <w:spacing w:after="0"/>
              <w:jc w:val="center"/>
              <w:rPr>
                <w:sz w:val="18"/>
                <w:szCs w:val="18"/>
              </w:rPr>
            </w:pPr>
            <w:r>
              <w:rPr>
                <w:sz w:val="18"/>
                <w:szCs w:val="18"/>
              </w:rPr>
              <w:t>Upper half group of narrowbands (NB</w:t>
            </w:r>
            <w:r w:rsidR="00180BA9">
              <w:rPr>
                <w:sz w:val="18"/>
                <w:szCs w:val="18"/>
              </w:rPr>
              <w:t>6</w:t>
            </w:r>
            <w:r>
              <w:rPr>
                <w:sz w:val="18"/>
                <w:szCs w:val="18"/>
              </w:rPr>
              <w:t xml:space="preserve"> </w:t>
            </w:r>
            <w:r w:rsidR="00180BA9">
              <w:rPr>
                <w:sz w:val="18"/>
                <w:szCs w:val="18"/>
              </w:rPr>
              <w:t>to</w:t>
            </w:r>
            <w:r>
              <w:rPr>
                <w:sz w:val="18"/>
                <w:szCs w:val="18"/>
              </w:rPr>
              <w:t xml:space="preserve"> NB</w:t>
            </w:r>
            <w:r w:rsidR="00180BA9">
              <w:rPr>
                <w:sz w:val="18"/>
                <w:szCs w:val="18"/>
              </w:rPr>
              <w:t>11</w:t>
            </w:r>
            <w:r>
              <w:rPr>
                <w:sz w:val="18"/>
                <w:szCs w:val="18"/>
              </w:rPr>
              <w:t xml:space="preserve">) </w:t>
            </w:r>
            <w:r w:rsidR="00180BA9">
              <w:rPr>
                <w:sz w:val="18"/>
                <w:szCs w:val="18"/>
              </w:rPr>
              <w:t xml:space="preserve">is </w:t>
            </w:r>
            <w:r>
              <w:rPr>
                <w:sz w:val="18"/>
                <w:szCs w:val="18"/>
              </w:rPr>
              <w:t xml:space="preserve">shifted 1 PRB compared to lower half group of narrowbands (NB0 </w:t>
            </w:r>
            <w:r w:rsidR="00180BA9">
              <w:rPr>
                <w:sz w:val="18"/>
                <w:szCs w:val="18"/>
              </w:rPr>
              <w:t>to</w:t>
            </w:r>
            <w:r>
              <w:rPr>
                <w:sz w:val="18"/>
                <w:szCs w:val="18"/>
              </w:rPr>
              <w:t xml:space="preserve"> NB</w:t>
            </w:r>
            <w:r w:rsidR="00180BA9">
              <w:rPr>
                <w:sz w:val="18"/>
                <w:szCs w:val="18"/>
              </w:rPr>
              <w:t>5</w:t>
            </w:r>
            <w:r>
              <w:rPr>
                <w:sz w:val="18"/>
                <w:szCs w:val="18"/>
              </w:rPr>
              <w:t>)</w:t>
            </w:r>
          </w:p>
          <w:p w14:paraId="35C9E0A0" w14:textId="1BF478D9" w:rsidR="008D5C3C" w:rsidRPr="003B6794" w:rsidRDefault="00160760" w:rsidP="00160760">
            <w:pPr>
              <w:keepNext/>
              <w:keepLines/>
              <w:spacing w:after="0"/>
              <w:jc w:val="center"/>
              <w:rPr>
                <w:rFonts w:cs="Arial"/>
                <w:sz w:val="18"/>
                <w:szCs w:val="18"/>
              </w:rPr>
            </w:pPr>
            <w:r>
              <w:rPr>
                <w:color w:val="000000"/>
                <w:sz w:val="18"/>
                <w:szCs w:val="18"/>
              </w:rPr>
              <w:t>Within the l</w:t>
            </w:r>
            <w:r w:rsidR="008D5C3C" w:rsidRPr="003B6794">
              <w:rPr>
                <w:color w:val="000000"/>
                <w:sz w:val="18"/>
                <w:szCs w:val="18"/>
              </w:rPr>
              <w:t xml:space="preserve">ower </w:t>
            </w:r>
            <w:r>
              <w:rPr>
                <w:color w:val="000000"/>
                <w:sz w:val="18"/>
                <w:szCs w:val="18"/>
              </w:rPr>
              <w:t xml:space="preserve">and upper </w:t>
            </w:r>
            <w:r w:rsidR="008D5C3C" w:rsidRPr="003B6794">
              <w:rPr>
                <w:color w:val="000000"/>
                <w:sz w:val="18"/>
                <w:szCs w:val="18"/>
              </w:rPr>
              <w:t xml:space="preserve">half of group of </w:t>
            </w:r>
            <w:r>
              <w:rPr>
                <w:color w:val="000000"/>
                <w:sz w:val="18"/>
                <w:szCs w:val="18"/>
              </w:rPr>
              <w:t>narrowbands, a</w:t>
            </w:r>
            <w:r>
              <w:rPr>
                <w:rFonts w:cs="Arial"/>
                <w:sz w:val="18"/>
                <w:szCs w:val="18"/>
              </w:rPr>
              <w:t>ll narrowbands with even index (NB0, NB2, …) have the same alignment to the resource block groups, and all narrowbands with odd index (NB1, NB3, …) have the same alignment to the resource block groups</w:t>
            </w:r>
          </w:p>
        </w:tc>
      </w:tr>
      <w:tr w:rsidR="008D5C3C" w14:paraId="1D6FFD9F" w14:textId="77777777" w:rsidTr="00160760">
        <w:trPr>
          <w:jc w:val="center"/>
        </w:trPr>
        <w:tc>
          <w:tcPr>
            <w:tcW w:w="816" w:type="dxa"/>
            <w:tcBorders>
              <w:top w:val="single" w:sz="4" w:space="0" w:color="auto"/>
              <w:left w:val="double" w:sz="4" w:space="0" w:color="auto"/>
              <w:bottom w:val="double" w:sz="4" w:space="0" w:color="auto"/>
              <w:right w:val="single" w:sz="4" w:space="0" w:color="auto"/>
            </w:tcBorders>
            <w:vAlign w:val="center"/>
            <w:hideMark/>
          </w:tcPr>
          <w:p w14:paraId="53C587E9" w14:textId="77777777" w:rsidR="008D5C3C" w:rsidRDefault="008D5C3C" w:rsidP="00160760">
            <w:pPr>
              <w:keepNext/>
              <w:keepLines/>
              <w:spacing w:after="0"/>
              <w:jc w:val="center"/>
              <w:rPr>
                <w:rFonts w:cs="Arial"/>
              </w:rPr>
            </w:pPr>
            <w:r>
              <w:rPr>
                <w:color w:val="000000"/>
                <w:sz w:val="18"/>
                <w:szCs w:val="18"/>
              </w:rPr>
              <w:t>20</w:t>
            </w:r>
          </w:p>
        </w:tc>
        <w:tc>
          <w:tcPr>
            <w:tcW w:w="863" w:type="dxa"/>
            <w:tcBorders>
              <w:top w:val="single" w:sz="4" w:space="0" w:color="auto"/>
              <w:left w:val="single" w:sz="4" w:space="0" w:color="auto"/>
              <w:bottom w:val="double" w:sz="4" w:space="0" w:color="auto"/>
              <w:right w:val="single" w:sz="4" w:space="0" w:color="auto"/>
            </w:tcBorders>
            <w:vAlign w:val="center"/>
            <w:hideMark/>
          </w:tcPr>
          <w:p w14:paraId="5BFBE489" w14:textId="77777777" w:rsidR="008D5C3C" w:rsidRDefault="008D5C3C" w:rsidP="00160760">
            <w:pPr>
              <w:keepNext/>
              <w:keepLines/>
              <w:spacing w:after="0"/>
              <w:jc w:val="center"/>
              <w:rPr>
                <w:rFonts w:cs="Arial"/>
              </w:rPr>
            </w:pPr>
            <w:r>
              <w:rPr>
                <w:color w:val="000000"/>
                <w:sz w:val="18"/>
                <w:szCs w:val="18"/>
              </w:rPr>
              <w:t>100</w:t>
            </w:r>
          </w:p>
        </w:tc>
        <w:tc>
          <w:tcPr>
            <w:tcW w:w="677" w:type="dxa"/>
            <w:tcBorders>
              <w:top w:val="single" w:sz="4" w:space="0" w:color="auto"/>
              <w:left w:val="single" w:sz="4" w:space="0" w:color="auto"/>
              <w:bottom w:val="double" w:sz="4" w:space="0" w:color="auto"/>
              <w:right w:val="single" w:sz="4" w:space="0" w:color="auto"/>
            </w:tcBorders>
            <w:vAlign w:val="center"/>
          </w:tcPr>
          <w:p w14:paraId="697B5560" w14:textId="77777777" w:rsidR="008D5C3C" w:rsidRDefault="008D5C3C" w:rsidP="00160760">
            <w:pPr>
              <w:keepNext/>
              <w:keepLines/>
              <w:spacing w:after="0"/>
              <w:jc w:val="center"/>
              <w:rPr>
                <w:color w:val="000000"/>
                <w:sz w:val="18"/>
                <w:szCs w:val="18"/>
              </w:rPr>
            </w:pPr>
            <w:r>
              <w:rPr>
                <w:color w:val="000000"/>
                <w:sz w:val="18"/>
                <w:szCs w:val="18"/>
              </w:rPr>
              <w:t>4</w:t>
            </w:r>
          </w:p>
        </w:tc>
        <w:tc>
          <w:tcPr>
            <w:tcW w:w="818" w:type="dxa"/>
            <w:tcBorders>
              <w:top w:val="single" w:sz="4" w:space="0" w:color="auto"/>
              <w:left w:val="single" w:sz="4" w:space="0" w:color="auto"/>
              <w:bottom w:val="double" w:sz="4" w:space="0" w:color="auto"/>
              <w:right w:val="double" w:sz="4" w:space="0" w:color="auto"/>
            </w:tcBorders>
            <w:vAlign w:val="center"/>
            <w:hideMark/>
          </w:tcPr>
          <w:p w14:paraId="3B873C83" w14:textId="77777777" w:rsidR="008D5C3C" w:rsidRPr="00B63B71" w:rsidRDefault="008D5C3C" w:rsidP="00160760">
            <w:pPr>
              <w:keepNext/>
              <w:keepLines/>
              <w:spacing w:after="0"/>
              <w:jc w:val="center"/>
              <w:rPr>
                <w:rFonts w:cs="Arial"/>
                <w:sz w:val="16"/>
              </w:rPr>
            </w:pPr>
            <w:r w:rsidRPr="00B63B71">
              <w:rPr>
                <w:sz w:val="16"/>
              </w:rPr>
              <w:t>16</w:t>
            </w:r>
          </w:p>
        </w:tc>
        <w:tc>
          <w:tcPr>
            <w:tcW w:w="6167" w:type="dxa"/>
            <w:tcBorders>
              <w:top w:val="single" w:sz="4" w:space="0" w:color="auto"/>
              <w:left w:val="double" w:sz="4" w:space="0" w:color="auto"/>
              <w:bottom w:val="double" w:sz="4" w:space="0" w:color="auto"/>
              <w:right w:val="double" w:sz="4" w:space="0" w:color="auto"/>
            </w:tcBorders>
            <w:vAlign w:val="center"/>
            <w:hideMark/>
          </w:tcPr>
          <w:p w14:paraId="4E293200" w14:textId="1B582A0E" w:rsidR="008D5C3C" w:rsidRPr="00B63B71" w:rsidRDefault="008D5C3C" w:rsidP="00160760">
            <w:pPr>
              <w:keepNext/>
              <w:keepLines/>
              <w:spacing w:after="0"/>
              <w:jc w:val="center"/>
              <w:rPr>
                <w:rFonts w:cs="Arial"/>
                <w:sz w:val="18"/>
                <w:szCs w:val="18"/>
              </w:rPr>
            </w:pPr>
            <w:r>
              <w:rPr>
                <w:rFonts w:cs="Arial"/>
                <w:sz w:val="18"/>
                <w:szCs w:val="18"/>
              </w:rPr>
              <w:t xml:space="preserve">All narrowbands with even index (NB0, NB2, …) </w:t>
            </w:r>
            <w:r w:rsidR="00160760">
              <w:rPr>
                <w:rFonts w:cs="Arial"/>
                <w:sz w:val="18"/>
                <w:szCs w:val="18"/>
              </w:rPr>
              <w:t>have</w:t>
            </w:r>
            <w:r>
              <w:rPr>
                <w:rFonts w:cs="Arial"/>
                <w:sz w:val="18"/>
                <w:szCs w:val="18"/>
              </w:rPr>
              <w:t xml:space="preserve"> </w:t>
            </w:r>
            <w:r w:rsidR="00160760">
              <w:rPr>
                <w:rFonts w:cs="Arial"/>
                <w:sz w:val="18"/>
                <w:szCs w:val="18"/>
              </w:rPr>
              <w:t xml:space="preserve">the same </w:t>
            </w:r>
            <w:r>
              <w:rPr>
                <w:rFonts w:cs="Arial"/>
                <w:sz w:val="18"/>
                <w:szCs w:val="18"/>
              </w:rPr>
              <w:t>alignment to the resource block groups</w:t>
            </w:r>
            <w:r w:rsidR="00160760">
              <w:rPr>
                <w:rFonts w:cs="Arial"/>
                <w:sz w:val="18"/>
                <w:szCs w:val="18"/>
              </w:rPr>
              <w:t>, and all narrowbands with odd index (NB1, NB3, …) have the same alignment to the resource block groups</w:t>
            </w:r>
          </w:p>
        </w:tc>
      </w:tr>
    </w:tbl>
    <w:p w14:paraId="2D54DC79" w14:textId="65D30F5C" w:rsidR="008D5C3C" w:rsidRDefault="008D5C3C" w:rsidP="00A704D1">
      <w:pPr>
        <w:rPr>
          <w:lang w:eastAsia="zh-CN"/>
        </w:rPr>
      </w:pPr>
    </w:p>
    <w:p w14:paraId="358217AC" w14:textId="4C3BAB80" w:rsidR="00BC4531" w:rsidRDefault="009A1C15" w:rsidP="00A704D1">
      <w:pPr>
        <w:rPr>
          <w:lang w:eastAsia="zh-CN"/>
        </w:rPr>
      </w:pPr>
      <w:r>
        <w:rPr>
          <w:lang w:eastAsia="zh-CN"/>
        </w:rPr>
        <w:t>It can be observed that for 10MHz system bandwidth, all narrowband offsets will result in PRB allocations that are aligned for both the narrowbands used in frequency hopping.</w:t>
      </w:r>
    </w:p>
    <w:p w14:paraId="282F3DF9" w14:textId="15CDD178" w:rsidR="009A1C15" w:rsidRDefault="009A1C15" w:rsidP="00A704D1">
      <w:pPr>
        <w:rPr>
          <w:lang w:eastAsia="zh-CN"/>
        </w:rPr>
      </w:pPr>
      <w:r>
        <w:rPr>
          <w:lang w:eastAsia="zh-CN"/>
        </w:rPr>
        <w:t xml:space="preserve">Similarly, for 20MHz system bandwidth, a </w:t>
      </w:r>
      <w:r w:rsidR="00E35CE9">
        <w:rPr>
          <w:lang w:eastAsia="zh-CN"/>
        </w:rPr>
        <w:t xml:space="preserve">frequency hopping </w:t>
      </w:r>
      <w:r>
        <w:rPr>
          <w:lang w:eastAsia="zh-CN"/>
        </w:rPr>
        <w:t>narrowband offset of an even number of narrowbands will result in PRB allocations that are aligned for both the narrowbands used in frequency hopping.</w:t>
      </w:r>
    </w:p>
    <w:p w14:paraId="739625E3" w14:textId="08581548" w:rsidR="00A813F9" w:rsidRDefault="009A1C15" w:rsidP="00044B11">
      <w:pPr>
        <w:pStyle w:val="Observation"/>
        <w:rPr>
          <w:lang w:eastAsia="zh-CN"/>
        </w:rPr>
      </w:pPr>
      <w:bookmarkStart w:id="162" w:name="_Toc493865080"/>
      <w:bookmarkStart w:id="163" w:name="_Toc493865746"/>
      <w:bookmarkStart w:id="164" w:name="_Toc493865794"/>
      <w:bookmarkStart w:id="165" w:name="_Toc494296731"/>
      <w:bookmarkStart w:id="166" w:name="_Toc494297002"/>
      <w:bookmarkStart w:id="167" w:name="_Toc494297085"/>
      <w:bookmarkStart w:id="168" w:name="_Toc494476237"/>
      <w:bookmarkStart w:id="169" w:name="_Toc513643174"/>
      <w:bookmarkStart w:id="170" w:name="_Toc513647089"/>
      <w:bookmarkStart w:id="171" w:name="_Toc513656498"/>
      <w:bookmarkStart w:id="172" w:name="_Toc513659472"/>
      <w:bookmarkStart w:id="173" w:name="_Toc513660065"/>
      <w:bookmarkStart w:id="174" w:name="_Toc513820077"/>
      <w:bookmarkStart w:id="175" w:name="_Toc513820354"/>
      <w:bookmarkStart w:id="176" w:name="_Toc513821090"/>
      <w:r>
        <w:t xml:space="preserve">For 10MHz and 20MHz system bandwidths, there are </w:t>
      </w:r>
      <w:r w:rsidR="00E35CE9">
        <w:t xml:space="preserve">frequency </w:t>
      </w:r>
      <w:r>
        <w:t>hopping offset values that</w:t>
      </w:r>
      <w:r w:rsidR="00A704D1" w:rsidRPr="00030884">
        <w:t xml:space="preserve"> </w:t>
      </w:r>
      <w:bookmarkEnd w:id="162"/>
      <w:bookmarkEnd w:id="163"/>
      <w:bookmarkEnd w:id="164"/>
      <w:bookmarkEnd w:id="165"/>
      <w:bookmarkEnd w:id="166"/>
      <w:bookmarkEnd w:id="167"/>
      <w:bookmarkEnd w:id="168"/>
      <w:r w:rsidRPr="009A1C15">
        <w:t>will result in PRB allocations that are aligned for both the narrowbands used in frequency hopping.</w:t>
      </w:r>
      <w:bookmarkEnd w:id="169"/>
      <w:bookmarkEnd w:id="170"/>
      <w:bookmarkEnd w:id="171"/>
      <w:bookmarkEnd w:id="172"/>
      <w:bookmarkEnd w:id="173"/>
      <w:bookmarkEnd w:id="174"/>
      <w:bookmarkEnd w:id="175"/>
      <w:bookmarkEnd w:id="176"/>
    </w:p>
    <w:p w14:paraId="14C4D02E" w14:textId="4199E7C1" w:rsidR="00044B11" w:rsidRPr="00A813F9" w:rsidRDefault="005B34B0" w:rsidP="00044B11">
      <w:pPr>
        <w:pStyle w:val="Observation"/>
        <w:rPr>
          <w:lang w:eastAsia="zh-CN"/>
        </w:rPr>
      </w:pPr>
      <w:bookmarkStart w:id="177" w:name="_Toc513647090"/>
      <w:bookmarkStart w:id="178" w:name="_Toc513656499"/>
      <w:bookmarkStart w:id="179" w:name="_Toc513659473"/>
      <w:bookmarkStart w:id="180" w:name="_Toc513660066"/>
      <w:bookmarkStart w:id="181" w:name="_Toc513820078"/>
      <w:bookmarkStart w:id="182" w:name="_Toc513820355"/>
      <w:bookmarkStart w:id="183" w:name="_Toc513821091"/>
      <w:r w:rsidRPr="00A813F9">
        <w:rPr>
          <w:lang w:val="en-GB" w:eastAsia="zh-CN"/>
        </w:rPr>
        <w:t xml:space="preserve">For the system bandwidths of 3MHz, 5MHz, and 15MHz, </w:t>
      </w:r>
      <w:r w:rsidR="00A813F9" w:rsidRPr="00A813F9">
        <w:rPr>
          <w:lang w:val="en-GB" w:eastAsia="zh-CN"/>
        </w:rPr>
        <w:t>there is a need to adjust the starting PRB of the narrowband used for frequency hopping to align both the narrowbands used for frequency hopping.</w:t>
      </w:r>
      <w:bookmarkEnd w:id="177"/>
      <w:bookmarkEnd w:id="178"/>
      <w:bookmarkEnd w:id="179"/>
      <w:bookmarkEnd w:id="180"/>
      <w:bookmarkEnd w:id="181"/>
      <w:bookmarkEnd w:id="182"/>
      <w:bookmarkEnd w:id="183"/>
      <w:r w:rsidR="00A813F9" w:rsidRPr="00A813F9">
        <w:rPr>
          <w:lang w:val="en-GB" w:eastAsia="zh-CN"/>
        </w:rPr>
        <w:t xml:space="preserve"> </w:t>
      </w:r>
    </w:p>
    <w:p w14:paraId="5C72DC4A" w14:textId="2AE3DFEB" w:rsidR="00E35CE9" w:rsidRDefault="00A813F9" w:rsidP="00A813F9">
      <w:pPr>
        <w:rPr>
          <w:lang w:eastAsia="zh-CN"/>
        </w:rPr>
      </w:pPr>
      <w:r w:rsidRPr="00A813F9">
        <w:rPr>
          <w:lang w:eastAsia="zh-CN"/>
        </w:rPr>
        <w:t>For the system bandwidths of 3MHz, 5MHz, and 15M</w:t>
      </w:r>
      <w:r>
        <w:rPr>
          <w:lang w:eastAsia="zh-CN"/>
        </w:rPr>
        <w:t xml:space="preserve">Hz, </w:t>
      </w:r>
      <w:r w:rsidR="00E35CE9">
        <w:rPr>
          <w:lang w:eastAsia="zh-CN"/>
        </w:rPr>
        <w:t xml:space="preserve">one source for </w:t>
      </w:r>
      <w:r w:rsidR="008060B1">
        <w:rPr>
          <w:lang w:eastAsia="zh-CN"/>
        </w:rPr>
        <w:t xml:space="preserve">the </w:t>
      </w:r>
      <w:r w:rsidR="00E35CE9">
        <w:rPr>
          <w:lang w:eastAsia="zh-CN"/>
        </w:rPr>
        <w:t xml:space="preserve">misalignment to the resource block groups for the two narrowbands used in frequency hopping is if the two narrowbands are on opposite sides of the center frequency of the system bandwidth. </w:t>
      </w:r>
    </w:p>
    <w:p w14:paraId="485CBDC4" w14:textId="327CFD3E" w:rsidR="00A813F9" w:rsidRDefault="00E35CE9" w:rsidP="00A813F9">
      <w:pPr>
        <w:rPr>
          <w:lang w:eastAsia="zh-CN"/>
        </w:rPr>
      </w:pPr>
      <w:r>
        <w:rPr>
          <w:lang w:eastAsia="zh-CN"/>
        </w:rPr>
        <w:t>For 15MHz system bandwidth, a second source for the misalignment is if the narrowband index is odd or even. Similarly as for 20MHz system bandwidth, a frequency hopping narrowband offset of an even number of narrowbands will result in PRB allocations that are aligned for both the narrowbands used in frequency hopping.</w:t>
      </w:r>
    </w:p>
    <w:p w14:paraId="4DD9FF49" w14:textId="1676BC75" w:rsidR="00E35CE9" w:rsidRDefault="00E35CE9" w:rsidP="00A813F9">
      <w:pPr>
        <w:rPr>
          <w:lang w:eastAsia="zh-CN"/>
        </w:rPr>
      </w:pPr>
      <w:r>
        <w:rPr>
          <w:lang w:eastAsia="zh-CN"/>
        </w:rPr>
        <w:t>Thus, to obtain</w:t>
      </w:r>
      <w:r w:rsidR="008060B1">
        <w:rPr>
          <w:lang w:eastAsia="zh-CN"/>
        </w:rPr>
        <w:t xml:space="preserve"> </w:t>
      </w:r>
      <w:r w:rsidRPr="00E35CE9">
        <w:rPr>
          <w:lang w:eastAsia="zh-CN"/>
        </w:rPr>
        <w:t>frequency hopping offset values that will result in PRB allocations that are aligned for both the narrowbands used in frequency hopping</w:t>
      </w:r>
      <w:r>
        <w:rPr>
          <w:lang w:eastAsia="zh-CN"/>
        </w:rPr>
        <w:t xml:space="preserve"> also for </w:t>
      </w:r>
      <w:r w:rsidRPr="00A813F9">
        <w:rPr>
          <w:lang w:eastAsia="zh-CN"/>
        </w:rPr>
        <w:t>system bandwidths of 3MHz, 5MHz, and 15M</w:t>
      </w:r>
      <w:r>
        <w:rPr>
          <w:lang w:eastAsia="zh-CN"/>
        </w:rPr>
        <w:t>Hz, it is sufficient to shift the narrowband used for frequency hopping by 1 PRB if the two narrowbands are on opposite sides of the system bandwidth.</w:t>
      </w:r>
    </w:p>
    <w:p w14:paraId="25175E28" w14:textId="50B86F7C" w:rsidR="00E245E8" w:rsidRDefault="00E245E8" w:rsidP="00E35CE9">
      <w:pPr>
        <w:pStyle w:val="Proposal"/>
        <w:rPr>
          <w:lang w:eastAsia="zh-CN"/>
        </w:rPr>
      </w:pPr>
      <w:bookmarkStart w:id="184" w:name="_Toc513820093"/>
      <w:bookmarkStart w:id="185" w:name="_Toc513820370"/>
      <w:bookmarkStart w:id="186" w:name="_Toc513647105"/>
      <w:bookmarkStart w:id="187" w:name="_Toc513656514"/>
      <w:bookmarkStart w:id="188" w:name="_Toc513659488"/>
      <w:bookmarkStart w:id="189" w:name="_Toc513660081"/>
      <w:bookmarkStart w:id="190" w:name="_Toc513821106"/>
      <w:r>
        <w:rPr>
          <w:lang w:eastAsia="zh-CN"/>
        </w:rPr>
        <w:t>For flexible starting PRB for PDSCH and CE mode A and system bandwidth 10</w:t>
      </w:r>
      <w:r w:rsidRPr="00A813F9">
        <w:rPr>
          <w:lang w:eastAsia="zh-CN"/>
        </w:rPr>
        <w:t xml:space="preserve">MHz and </w:t>
      </w:r>
      <w:r>
        <w:rPr>
          <w:lang w:eastAsia="zh-CN"/>
        </w:rPr>
        <w:t>20</w:t>
      </w:r>
      <w:r w:rsidRPr="00A813F9">
        <w:rPr>
          <w:lang w:eastAsia="zh-CN"/>
        </w:rPr>
        <w:t>M</w:t>
      </w:r>
      <w:r>
        <w:rPr>
          <w:lang w:eastAsia="zh-CN"/>
        </w:rPr>
        <w:t xml:space="preserve">Hz, </w:t>
      </w:r>
      <w:r>
        <w:rPr>
          <w:lang w:val="en-GB" w:eastAsia="zh-CN"/>
        </w:rPr>
        <w:t xml:space="preserve">the legacy </w:t>
      </w:r>
      <w:r>
        <w:rPr>
          <w:lang w:eastAsia="zh-CN"/>
        </w:rPr>
        <w:t>BL/CE UE frequency hopping is followed</w:t>
      </w:r>
      <w:bookmarkEnd w:id="184"/>
      <w:bookmarkEnd w:id="185"/>
      <w:bookmarkEnd w:id="190"/>
    </w:p>
    <w:p w14:paraId="098FA9CB" w14:textId="5D7D2593" w:rsidR="00E35CE9" w:rsidRPr="00A813F9" w:rsidRDefault="00E35CE9" w:rsidP="00E35CE9">
      <w:pPr>
        <w:pStyle w:val="Proposal"/>
        <w:rPr>
          <w:lang w:eastAsia="zh-CN"/>
        </w:rPr>
      </w:pPr>
      <w:bookmarkStart w:id="191" w:name="_Toc513820094"/>
      <w:bookmarkStart w:id="192" w:name="_Toc513820371"/>
      <w:bookmarkStart w:id="193" w:name="_Toc513821107"/>
      <w:r>
        <w:rPr>
          <w:lang w:eastAsia="zh-CN"/>
        </w:rPr>
        <w:t xml:space="preserve">For </w:t>
      </w:r>
      <w:r w:rsidR="0037663F">
        <w:rPr>
          <w:lang w:eastAsia="zh-CN"/>
        </w:rPr>
        <w:t xml:space="preserve">flexible starting PRB for </w:t>
      </w:r>
      <w:r w:rsidR="00FF4D35">
        <w:rPr>
          <w:lang w:eastAsia="zh-CN"/>
        </w:rPr>
        <w:t xml:space="preserve">PDSCH and CE mode A and system bandwidth </w:t>
      </w:r>
      <w:r w:rsidR="00FF4D35" w:rsidRPr="00A813F9">
        <w:rPr>
          <w:lang w:eastAsia="zh-CN"/>
        </w:rPr>
        <w:t>3MHz, 5MHz, and 15M</w:t>
      </w:r>
      <w:r w:rsidR="00FF4D35">
        <w:rPr>
          <w:lang w:eastAsia="zh-CN"/>
        </w:rPr>
        <w:t xml:space="preserve">Hz, </w:t>
      </w:r>
      <w:r w:rsidR="00B831B5">
        <w:rPr>
          <w:lang w:val="en-GB" w:eastAsia="zh-CN"/>
        </w:rPr>
        <w:t xml:space="preserve">the legacy </w:t>
      </w:r>
      <w:r w:rsidR="00B831B5">
        <w:rPr>
          <w:lang w:eastAsia="zh-CN"/>
        </w:rPr>
        <w:t>BL/CE UE frequency hopping is followed</w:t>
      </w:r>
      <w:r w:rsidR="00B831B5">
        <w:rPr>
          <w:lang w:val="en-GB" w:eastAsia="zh-CN"/>
        </w:rPr>
        <w:t xml:space="preserve"> with the </w:t>
      </w:r>
      <w:r w:rsidR="00B831B5">
        <w:rPr>
          <w:lang w:val="en-GB" w:eastAsia="zh-CN"/>
        </w:rPr>
        <w:lastRenderedPageBreak/>
        <w:t xml:space="preserve">exception that </w:t>
      </w:r>
      <w:r w:rsidR="00FF4D35">
        <w:rPr>
          <w:lang w:eastAsia="zh-CN"/>
        </w:rPr>
        <w:t>an additional shift of 1 PRB towards the center frequency is applied to the frequency hopping narrowband if the original narrowband and the frequency hopping narrowband are on opposite sides of the center frequency.</w:t>
      </w:r>
      <w:bookmarkEnd w:id="186"/>
      <w:bookmarkEnd w:id="187"/>
      <w:bookmarkEnd w:id="188"/>
      <w:bookmarkEnd w:id="189"/>
      <w:bookmarkEnd w:id="191"/>
      <w:bookmarkEnd w:id="192"/>
      <w:bookmarkEnd w:id="193"/>
    </w:p>
    <w:p w14:paraId="4D885868" w14:textId="017572D5" w:rsidR="00B13150" w:rsidRDefault="00B13150" w:rsidP="00B13150">
      <w:pPr>
        <w:pStyle w:val="Heading4"/>
      </w:pPr>
      <w:r>
        <w:t>CE mode B</w:t>
      </w:r>
    </w:p>
    <w:p w14:paraId="11C2FF58" w14:textId="3AC6B5F9" w:rsidR="00B13150" w:rsidRDefault="00B13150" w:rsidP="00B13150">
      <w:pPr>
        <w:rPr>
          <w:lang w:eastAsia="zh-CN"/>
        </w:rPr>
      </w:pPr>
      <w:r>
        <w:rPr>
          <w:lang w:eastAsia="zh-CN"/>
        </w:rPr>
        <w:t xml:space="preserve">For PDSCH CE mode B, it is proposed to </w:t>
      </w:r>
      <w:r w:rsidRPr="00B13150">
        <w:rPr>
          <w:lang w:eastAsia="zh-CN"/>
        </w:rPr>
        <w:t>use an RRC indication to semi-statically adjust the starting PRB of the resource allocation</w:t>
      </w:r>
      <w:r w:rsidR="00A77463">
        <w:rPr>
          <w:lang w:eastAsia="zh-CN"/>
        </w:rPr>
        <w:t xml:space="preserve"> to align to the resource block groups, as outlined in </w:t>
      </w:r>
      <w:r w:rsidR="00A77463">
        <w:rPr>
          <w:lang w:eastAsia="zh-CN"/>
        </w:rPr>
        <w:fldChar w:fldCharType="begin"/>
      </w:r>
      <w:r w:rsidR="00A77463">
        <w:rPr>
          <w:lang w:eastAsia="zh-CN"/>
        </w:rPr>
        <w:instrText xml:space="preserve"> REF _Ref510690121 \h </w:instrText>
      </w:r>
      <w:r w:rsidR="00A77463">
        <w:rPr>
          <w:lang w:eastAsia="zh-CN"/>
        </w:rPr>
      </w:r>
      <w:r w:rsidR="00A77463">
        <w:rPr>
          <w:lang w:eastAsia="zh-CN"/>
        </w:rPr>
        <w:fldChar w:fldCharType="separate"/>
      </w:r>
      <w:r w:rsidR="00725BFD">
        <w:t xml:space="preserve">Table </w:t>
      </w:r>
      <w:r w:rsidR="00725BFD">
        <w:rPr>
          <w:noProof/>
        </w:rPr>
        <w:t>2</w:t>
      </w:r>
      <w:r w:rsidR="00A77463">
        <w:rPr>
          <w:lang w:eastAsia="zh-CN"/>
        </w:rPr>
        <w:fldChar w:fldCharType="end"/>
      </w:r>
      <w:r w:rsidR="00A77463">
        <w:rPr>
          <w:lang w:eastAsia="zh-CN"/>
        </w:rPr>
        <w:t xml:space="preserve">. Since the same adjustment also will apply to the narrowband that results from frequency hopping, alignment to the RBG will be inherent in the proposed solution for flexible PDSCH resource allocation in CE mode B. </w:t>
      </w:r>
    </w:p>
    <w:p w14:paraId="5221DCA0" w14:textId="307142B8" w:rsidR="00A77463" w:rsidRPr="00FF4D35" w:rsidRDefault="00A77463" w:rsidP="00A77463">
      <w:pPr>
        <w:pStyle w:val="Observation"/>
        <w:rPr>
          <w:lang w:val="en-GB" w:eastAsia="zh-CN"/>
        </w:rPr>
      </w:pPr>
      <w:bookmarkStart w:id="194" w:name="_Toc513647091"/>
      <w:bookmarkStart w:id="195" w:name="_Toc513656500"/>
      <w:bookmarkStart w:id="196" w:name="_Toc513659474"/>
      <w:bookmarkStart w:id="197" w:name="_Toc513660067"/>
      <w:bookmarkStart w:id="198" w:name="_Toc513820079"/>
      <w:bookmarkStart w:id="199" w:name="_Toc513820356"/>
      <w:bookmarkStart w:id="200" w:name="_Toc513821092"/>
      <w:r>
        <w:rPr>
          <w:lang w:eastAsia="zh-CN"/>
        </w:rPr>
        <w:t>Alignment to the resource block group for frequency hopping is inherent in the proposed solution for flexible PDSCH resource allocation in CE mode B.</w:t>
      </w:r>
      <w:bookmarkEnd w:id="194"/>
      <w:bookmarkEnd w:id="195"/>
      <w:bookmarkEnd w:id="196"/>
      <w:bookmarkEnd w:id="197"/>
      <w:bookmarkEnd w:id="198"/>
      <w:bookmarkEnd w:id="199"/>
      <w:bookmarkEnd w:id="200"/>
    </w:p>
    <w:p w14:paraId="55E346A3" w14:textId="4BFE958E" w:rsidR="00FF4D35" w:rsidRPr="00A813F9" w:rsidRDefault="00FF4D35" w:rsidP="00FF4D35">
      <w:pPr>
        <w:pStyle w:val="Proposal"/>
        <w:rPr>
          <w:lang w:eastAsia="zh-CN"/>
        </w:rPr>
      </w:pPr>
      <w:bookmarkStart w:id="201" w:name="_Toc513647106"/>
      <w:bookmarkStart w:id="202" w:name="_Toc513656515"/>
      <w:bookmarkStart w:id="203" w:name="_Toc513659489"/>
      <w:bookmarkStart w:id="204" w:name="_Toc513660082"/>
      <w:bookmarkStart w:id="205" w:name="_Toc513820095"/>
      <w:bookmarkStart w:id="206" w:name="_Toc513820372"/>
      <w:bookmarkStart w:id="207" w:name="_Toc513821108"/>
      <w:r>
        <w:rPr>
          <w:lang w:eastAsia="zh-CN"/>
        </w:rPr>
        <w:t xml:space="preserve">For </w:t>
      </w:r>
      <w:r w:rsidR="0037663F">
        <w:rPr>
          <w:lang w:eastAsia="zh-CN"/>
        </w:rPr>
        <w:t xml:space="preserve">flexible starting PRB for </w:t>
      </w:r>
      <w:r>
        <w:rPr>
          <w:lang w:eastAsia="zh-CN"/>
        </w:rPr>
        <w:t>PDSCH and CE mode B</w:t>
      </w:r>
      <w:r w:rsidR="00CE7D28">
        <w:rPr>
          <w:lang w:eastAsia="zh-CN"/>
        </w:rPr>
        <w:t>,</w:t>
      </w:r>
      <w:r>
        <w:rPr>
          <w:lang w:eastAsia="zh-CN"/>
        </w:rPr>
        <w:t xml:space="preserve"> the legacy BL/CE UE frequency hopping is followed.</w:t>
      </w:r>
      <w:bookmarkEnd w:id="201"/>
      <w:bookmarkEnd w:id="202"/>
      <w:bookmarkEnd w:id="203"/>
      <w:bookmarkEnd w:id="204"/>
      <w:bookmarkEnd w:id="205"/>
      <w:bookmarkEnd w:id="206"/>
      <w:bookmarkEnd w:id="207"/>
    </w:p>
    <w:p w14:paraId="041948DE" w14:textId="3272E913" w:rsidR="00FF4D35" w:rsidRDefault="008035EC" w:rsidP="008035EC">
      <w:pPr>
        <w:pStyle w:val="Heading3"/>
      </w:pPr>
      <w:r>
        <w:t>PUSCH</w:t>
      </w:r>
    </w:p>
    <w:p w14:paraId="6F6FD5C8" w14:textId="515B297D" w:rsidR="00CE7D28" w:rsidRDefault="0065724A" w:rsidP="0065724A">
      <w:pPr>
        <w:rPr>
          <w:lang w:val="en-GB" w:eastAsia="zh-CN"/>
        </w:rPr>
      </w:pPr>
      <w:r>
        <w:rPr>
          <w:lang w:val="en-GB" w:eastAsia="zh-CN"/>
        </w:rPr>
        <w:t xml:space="preserve">As discussed in Section </w:t>
      </w:r>
      <w:r>
        <w:rPr>
          <w:lang w:val="en-GB" w:eastAsia="zh-CN"/>
        </w:rPr>
        <w:fldChar w:fldCharType="begin"/>
      </w:r>
      <w:r>
        <w:rPr>
          <w:lang w:val="en-GB" w:eastAsia="zh-CN"/>
        </w:rPr>
        <w:instrText xml:space="preserve"> REF _Ref513651021 \r \h </w:instrText>
      </w:r>
      <w:r>
        <w:rPr>
          <w:lang w:val="en-GB" w:eastAsia="zh-CN"/>
        </w:rPr>
      </w:r>
      <w:r>
        <w:rPr>
          <w:lang w:val="en-GB" w:eastAsia="zh-CN"/>
        </w:rPr>
        <w:fldChar w:fldCharType="separate"/>
      </w:r>
      <w:r w:rsidR="00725BFD">
        <w:rPr>
          <w:lang w:val="en-GB" w:eastAsia="zh-CN"/>
        </w:rPr>
        <w:t>2.2</w:t>
      </w:r>
      <w:r>
        <w:rPr>
          <w:lang w:val="en-GB" w:eastAsia="zh-CN"/>
        </w:rPr>
        <w:fldChar w:fldCharType="end"/>
      </w:r>
      <w:r>
        <w:rPr>
          <w:lang w:val="en-GB" w:eastAsia="zh-CN"/>
        </w:rPr>
        <w:t xml:space="preserve">, </w:t>
      </w:r>
      <w:r w:rsidR="00CE7D28">
        <w:rPr>
          <w:lang w:val="en-GB" w:eastAsia="zh-CN"/>
        </w:rPr>
        <w:t>the</w:t>
      </w:r>
      <w:r>
        <w:rPr>
          <w:lang w:val="en-GB" w:eastAsia="zh-CN"/>
        </w:rPr>
        <w:t xml:space="preserve"> objective of the flexible PUSCH resource allocation is to support allocating BL/CE UEs adjacent to PRACH and PUCCH resource</w:t>
      </w:r>
      <w:r w:rsidR="00CE7D28">
        <w:rPr>
          <w:lang w:val="en-GB" w:eastAsia="zh-CN"/>
        </w:rPr>
        <w:t>. Since the frequency hopping is a number of narrowbands, it is not considered feasible to align the allocation of the PRBs to the band edges for both the original and the hopping narrowband. Thus, the legacy frequency hopping for BL/CE UEs can be followed</w:t>
      </w:r>
      <w:r w:rsidR="00A71324">
        <w:rPr>
          <w:lang w:val="en-GB" w:eastAsia="zh-CN"/>
        </w:rPr>
        <w:t xml:space="preserve"> without modifications</w:t>
      </w:r>
      <w:r w:rsidR="00CE7D28">
        <w:rPr>
          <w:lang w:val="en-GB" w:eastAsia="zh-CN"/>
        </w:rPr>
        <w:t>.</w:t>
      </w:r>
    </w:p>
    <w:p w14:paraId="2B4DCFA9" w14:textId="6E069292" w:rsidR="00CE7D28" w:rsidRPr="002008E0" w:rsidRDefault="002008E0" w:rsidP="002008E0">
      <w:r>
        <w:t xml:space="preserve">For FDD and PUSCH CE mode A it is proposed to use </w:t>
      </w:r>
      <w:r w:rsidRPr="002008E0">
        <w:t>Resource allocation type 2 with starting PRB within the full system BW.</w:t>
      </w:r>
      <w:r>
        <w:t xml:space="preserve">  Since this allocation do not </w:t>
      </w:r>
      <w:r w:rsidR="008060B1">
        <w:t xml:space="preserve">explicitly </w:t>
      </w:r>
      <w:r>
        <w:t xml:space="preserve">include a narrowband </w:t>
      </w:r>
      <w:r w:rsidR="008060B1">
        <w:t>to be used in</w:t>
      </w:r>
      <w:r>
        <w:t xml:space="preserve"> the computation of the hopping narrowband, it is proposed to </w:t>
      </w:r>
      <w:r w:rsidR="008060B1">
        <w:t>implicitly define the</w:t>
      </w:r>
      <w:r>
        <w:t xml:space="preserve"> narrowband for the allocation</w:t>
      </w:r>
      <w:r w:rsidR="00CE7D28">
        <w:t xml:space="preserve"> as the narrowband of the starting PRB of the allocation </w:t>
      </w:r>
      <w:r w:rsidR="00CE7D28">
        <w:fldChar w:fldCharType="begin"/>
      </w:r>
      <w:r w:rsidR="00CE7D28">
        <w:instrText xml:space="preserve"> REF _Ref505981342 \r \h </w:instrText>
      </w:r>
      <w:r w:rsidR="00CE7D28">
        <w:fldChar w:fldCharType="separate"/>
      </w:r>
      <w:r w:rsidR="00725BFD">
        <w:t>[5]</w:t>
      </w:r>
      <w:r w:rsidR="00CE7D28">
        <w:fldChar w:fldCharType="end"/>
      </w:r>
      <w:r w:rsidR="00585F05">
        <w:t>. Th</w:t>
      </w:r>
      <w:r w:rsidR="008060B1">
        <w:t>is implicitly defined</w:t>
      </w:r>
      <w:r w:rsidR="00585F05">
        <w:t xml:space="preserve"> narrowband is used</w:t>
      </w:r>
      <w:r w:rsidR="00147A2D">
        <w:t xml:space="preserve"> as</w:t>
      </w:r>
      <w:r w:rsidR="00585F05">
        <w:t xml:space="preserve"> </w:t>
      </w:r>
      <w:r w:rsidR="00147A2D">
        <w:t xml:space="preserve">in </w:t>
      </w:r>
      <w:r w:rsidR="00585F05">
        <w:t xml:space="preserve">legacy BL/CE UE PUSCH frequency </w:t>
      </w:r>
      <w:r w:rsidR="00147A2D">
        <w:t xml:space="preserve">to compute the </w:t>
      </w:r>
      <w:r w:rsidR="00585F05">
        <w:t>hopping narrowband</w:t>
      </w:r>
      <w:r w:rsidR="00CE7D28">
        <w:t>.</w:t>
      </w:r>
    </w:p>
    <w:p w14:paraId="6BF2A378" w14:textId="4DE17D3B" w:rsidR="0037663F" w:rsidRPr="0037663F" w:rsidRDefault="0037663F" w:rsidP="00CE7D28">
      <w:pPr>
        <w:pStyle w:val="Proposal"/>
        <w:rPr>
          <w:lang w:val="en-GB" w:eastAsia="zh-CN"/>
        </w:rPr>
      </w:pPr>
      <w:bookmarkStart w:id="208" w:name="_Toc513656516"/>
      <w:bookmarkStart w:id="209" w:name="_Toc513659490"/>
      <w:bookmarkStart w:id="210" w:name="_Toc513660083"/>
      <w:bookmarkStart w:id="211" w:name="_Toc513820096"/>
      <w:bookmarkStart w:id="212" w:name="_Toc513820373"/>
      <w:bookmarkStart w:id="213" w:name="_Toc513821109"/>
      <w:r>
        <w:rPr>
          <w:lang w:eastAsia="zh-CN"/>
        </w:rPr>
        <w:t xml:space="preserve">For flexible starting PRB for PUSCH and CE mode </w:t>
      </w:r>
      <w:r>
        <w:rPr>
          <w:lang w:val="en-GB" w:eastAsia="zh-CN"/>
        </w:rPr>
        <w:t>A</w:t>
      </w:r>
      <w:r>
        <w:rPr>
          <w:lang w:eastAsia="zh-CN"/>
        </w:rPr>
        <w:t xml:space="preserve"> with </w:t>
      </w:r>
      <w:r w:rsidRPr="002008E0">
        <w:t>Resource allocation type 2 with starting PRB within the full system BW</w:t>
      </w:r>
      <w:r>
        <w:t>, a</w:t>
      </w:r>
      <w:r w:rsidR="008060B1">
        <w:t xml:space="preserve">n implicit </w:t>
      </w:r>
      <w:r>
        <w:t>narrowband used for computing the frequency hopping narrowband is defined as the narrowband that contains the starting PRB of the allocation.</w:t>
      </w:r>
      <w:bookmarkEnd w:id="208"/>
      <w:bookmarkEnd w:id="209"/>
      <w:bookmarkEnd w:id="210"/>
      <w:bookmarkEnd w:id="211"/>
      <w:bookmarkEnd w:id="212"/>
      <w:bookmarkEnd w:id="213"/>
    </w:p>
    <w:p w14:paraId="22AE53F3" w14:textId="3A689A13" w:rsidR="00B13150" w:rsidRPr="00B50482" w:rsidRDefault="00833DE9" w:rsidP="00B50482">
      <w:pPr>
        <w:pStyle w:val="Proposal"/>
        <w:rPr>
          <w:lang w:val="en-GB" w:eastAsia="zh-CN"/>
        </w:rPr>
      </w:pPr>
      <w:bookmarkStart w:id="214" w:name="_Toc513656517"/>
      <w:bookmarkStart w:id="215" w:name="_Toc513659491"/>
      <w:bookmarkStart w:id="216" w:name="_Toc513660084"/>
      <w:bookmarkStart w:id="217" w:name="_Toc513820097"/>
      <w:bookmarkStart w:id="218" w:name="_Toc513820374"/>
      <w:bookmarkStart w:id="219" w:name="_Toc513821110"/>
      <w:r>
        <w:rPr>
          <w:lang w:val="en-GB" w:eastAsia="zh-CN"/>
        </w:rPr>
        <w:t>F</w:t>
      </w:r>
      <w:r w:rsidR="00B831B5">
        <w:rPr>
          <w:lang w:val="en-GB" w:eastAsia="zh-CN"/>
        </w:rPr>
        <w:t>or flexible starting PRB for PUSCH resource allocation</w:t>
      </w:r>
      <w:r w:rsidR="003B1F3E">
        <w:rPr>
          <w:lang w:val="en-GB" w:eastAsia="zh-CN"/>
        </w:rPr>
        <w:t>,</w:t>
      </w:r>
      <w:r w:rsidR="00B831B5">
        <w:rPr>
          <w:lang w:val="en-GB" w:eastAsia="zh-CN"/>
        </w:rPr>
        <w:t xml:space="preserve"> the legacy </w:t>
      </w:r>
      <w:r w:rsidR="00B831B5">
        <w:rPr>
          <w:lang w:eastAsia="zh-CN"/>
        </w:rPr>
        <w:t>BL/CE UE frequency hopping is followed</w:t>
      </w:r>
      <w:r w:rsidR="00B831B5">
        <w:rPr>
          <w:lang w:val="en-GB" w:eastAsia="zh-CN"/>
        </w:rPr>
        <w:t>.</w:t>
      </w:r>
      <w:bookmarkEnd w:id="214"/>
      <w:bookmarkEnd w:id="215"/>
      <w:bookmarkEnd w:id="216"/>
      <w:bookmarkEnd w:id="217"/>
      <w:bookmarkEnd w:id="218"/>
      <w:bookmarkEnd w:id="219"/>
    </w:p>
    <w:p w14:paraId="10D9668A" w14:textId="26B78415" w:rsidR="00C61BF7" w:rsidRDefault="00EC093C" w:rsidP="00C61BF7">
      <w:pPr>
        <w:pStyle w:val="Heading1"/>
      </w:pPr>
      <w:r w:rsidRPr="0003443C">
        <w:lastRenderedPageBreak/>
        <w:t>Conclusion</w:t>
      </w:r>
    </w:p>
    <w:p w14:paraId="6952E767" w14:textId="366269CB" w:rsidR="00C61BF7" w:rsidRPr="00C61BF7" w:rsidRDefault="00C61BF7" w:rsidP="00FA0FC6">
      <w:pPr>
        <w:keepNext/>
        <w:rPr>
          <w:lang w:val="en-GB" w:eastAsia="zh-CN"/>
        </w:rPr>
      </w:pPr>
      <w:r>
        <w:rPr>
          <w:lang w:val="en-GB" w:eastAsia="zh-CN"/>
        </w:rPr>
        <w:t>The following observations are made:</w:t>
      </w:r>
    </w:p>
    <w:p w14:paraId="2A17A57B" w14:textId="77777777" w:rsidR="00725BFD" w:rsidRDefault="00C61BF7">
      <w:pPr>
        <w:pStyle w:val="TOC1"/>
        <w:rPr>
          <w:rFonts w:asciiTheme="minorHAnsi" w:eastAsiaTheme="minorEastAsia" w:hAnsiTheme="minorHAnsi" w:cstheme="minorBidi"/>
          <w:b w:val="0"/>
          <w:sz w:val="22"/>
          <w:lang w:eastAsia="en-US"/>
        </w:rPr>
      </w:pPr>
      <w:r w:rsidRPr="008D68FB">
        <w:rPr>
          <w:rFonts w:cs="Arial"/>
          <w:b w:val="0"/>
          <w:bCs/>
          <w:szCs w:val="20"/>
          <w:highlight w:val="yellow"/>
        </w:rPr>
        <w:fldChar w:fldCharType="begin"/>
      </w:r>
      <w:r w:rsidRPr="008D68FB">
        <w:rPr>
          <w:rFonts w:cs="Arial"/>
          <w:bCs/>
          <w:szCs w:val="20"/>
          <w:highlight w:val="yellow"/>
        </w:rPr>
        <w:instrText xml:space="preserve"> TOC \f \n \t "Observation;1" </w:instrText>
      </w:r>
      <w:r w:rsidRPr="008D68FB">
        <w:rPr>
          <w:rFonts w:cs="Arial"/>
          <w:b w:val="0"/>
          <w:bCs/>
          <w:szCs w:val="20"/>
          <w:highlight w:val="yellow"/>
        </w:rPr>
        <w:fldChar w:fldCharType="separate"/>
      </w:r>
      <w:r w:rsidR="00725BFD" w:rsidRPr="00B357D2">
        <w:rPr>
          <w:lang w:val="en-GB"/>
        </w:rPr>
        <w:t>Observation 1</w:t>
      </w:r>
      <w:r w:rsidR="00725BFD">
        <w:rPr>
          <w:rFonts w:asciiTheme="minorHAnsi" w:eastAsiaTheme="minorEastAsia" w:hAnsiTheme="minorHAnsi" w:cstheme="minorBidi"/>
          <w:b w:val="0"/>
          <w:sz w:val="22"/>
          <w:lang w:eastAsia="en-US"/>
        </w:rPr>
        <w:tab/>
      </w:r>
      <w:r w:rsidR="00725BFD" w:rsidRPr="00B357D2">
        <w:rPr>
          <w:lang w:val="en-GB"/>
        </w:rPr>
        <w:t>PUSCH resource allocation type 4 for 5MHz BL/CE UE in CE mode A already use the “unused” RIV values 21-31.</w:t>
      </w:r>
    </w:p>
    <w:p w14:paraId="68341EFF" w14:textId="77777777" w:rsidR="00725BFD" w:rsidRDefault="00725BFD">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For 10MHz and 20MHz system bandwidths, there are frequency hopping offset values that will result in PRB allocations that are aligned for both the narrowbands used in frequency hopping.</w:t>
      </w:r>
    </w:p>
    <w:p w14:paraId="32960922" w14:textId="77777777" w:rsidR="00725BFD" w:rsidRDefault="00725BFD">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rsidRPr="00B357D2">
        <w:rPr>
          <w:lang w:val="en-GB"/>
        </w:rPr>
        <w:t>For the system bandwidths of 3MHz, 5MHz, and 15MHz, there is a need to adjust the starting PRB of the narrowband used for frequency hopping to align both the narrowbands used for frequency hopping.</w:t>
      </w:r>
    </w:p>
    <w:p w14:paraId="40E937CA" w14:textId="77777777" w:rsidR="00725BFD" w:rsidRDefault="00725BFD">
      <w:pPr>
        <w:pStyle w:val="TOC1"/>
        <w:rPr>
          <w:rFonts w:asciiTheme="minorHAnsi" w:eastAsiaTheme="minorEastAsia" w:hAnsiTheme="minorHAnsi" w:cstheme="minorBidi"/>
          <w:b w:val="0"/>
          <w:sz w:val="22"/>
          <w:lang w:eastAsia="en-US"/>
        </w:rPr>
      </w:pPr>
      <w:r w:rsidRPr="00B357D2">
        <w:rPr>
          <w:lang w:val="en-GB"/>
        </w:rPr>
        <w:t>Observation 4</w:t>
      </w:r>
      <w:r>
        <w:rPr>
          <w:rFonts w:asciiTheme="minorHAnsi" w:eastAsiaTheme="minorEastAsia" w:hAnsiTheme="minorHAnsi" w:cstheme="minorBidi"/>
          <w:b w:val="0"/>
          <w:sz w:val="22"/>
          <w:lang w:eastAsia="en-US"/>
        </w:rPr>
        <w:tab/>
      </w:r>
      <w:r>
        <w:t>Alignment to the resource block group for frequency hopping is inherent in the proposed solution for flexible PDSCH resource allocation in CE mode B.</w:t>
      </w:r>
    </w:p>
    <w:p w14:paraId="4E0E2370" w14:textId="77777777" w:rsidR="00725BFD" w:rsidRDefault="00725BFD">
      <w:pPr>
        <w:pStyle w:val="TOC1"/>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 xml:space="preserve">Resource allocation type 2 may be used for flexible starting PRB allocation and address all consecutive groups of {0, 1, 2, 3, 4, 5} PRBs by selecting the starting PRB </w:t>
      </w:r>
      <w:r w:rsidRPr="004B740C">
        <w:rPr>
          <w:position w:val="-12"/>
        </w:rPr>
        <w:object w:dxaOrig="660" w:dyaOrig="360" w14:anchorId="3721E3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1" type="#_x0000_t75" style="width:31.9pt;height:18.35pt" o:ole="">
            <v:imagedata r:id="rId13" o:title=""/>
          </v:shape>
          <o:OLEObject Type="Embed" ProgID="Equation.3" ShapeID="_x0000_i1081" DrawAspect="Content" ObjectID="_1587562961" r:id="rId14"/>
        </w:object>
      </w:r>
      <w:r>
        <w:t xml:space="preserve"> from all PRBs within the system bandwidth. This requires an extra bit in the Resource allocation field in the DCI</w:t>
      </w:r>
    </w:p>
    <w:p w14:paraId="0F725E7A" w14:textId="77777777" w:rsidR="00725BFD" w:rsidRDefault="00725BFD">
      <w:pPr>
        <w:pStyle w:val="TOC1"/>
        <w:rPr>
          <w:rFonts w:asciiTheme="minorHAnsi" w:eastAsiaTheme="minorEastAsia" w:hAnsiTheme="minorHAnsi" w:cstheme="minorBidi"/>
          <w:b w:val="0"/>
          <w:sz w:val="22"/>
          <w:lang w:eastAsia="en-US"/>
        </w:rPr>
      </w:pPr>
      <w:r w:rsidRPr="00B357D2">
        <w:rPr>
          <w:lang w:val="en-GB"/>
        </w:rPr>
        <w:t>Observation 6</w:t>
      </w:r>
      <w:r>
        <w:rPr>
          <w:rFonts w:asciiTheme="minorHAnsi" w:eastAsiaTheme="minorEastAsia" w:hAnsiTheme="minorHAnsi" w:cstheme="minorBidi"/>
          <w:b w:val="0"/>
          <w:sz w:val="22"/>
          <w:lang w:eastAsia="en-US"/>
        </w:rPr>
        <w:tab/>
      </w:r>
      <w:r w:rsidRPr="00B357D2">
        <w:rPr>
          <w:lang w:val="en-GB"/>
        </w:rPr>
        <w:t>The unused RIV values in resource allocation type 2 may be used to increase the flexibility of the starting PRB without increasing the size of the DCI field, but do not provide a full flexibility of the starting PRB.</w:t>
      </w:r>
    </w:p>
    <w:p w14:paraId="319F192E" w14:textId="77777777" w:rsidR="00725BFD" w:rsidRDefault="00725BFD">
      <w:pPr>
        <w:pStyle w:val="TOC1"/>
        <w:rPr>
          <w:rFonts w:asciiTheme="minorHAnsi" w:eastAsiaTheme="minorEastAsia" w:hAnsiTheme="minorHAnsi" w:cstheme="minorBidi"/>
          <w:b w:val="0"/>
          <w:sz w:val="22"/>
          <w:lang w:eastAsia="en-US"/>
        </w:rPr>
      </w:pPr>
      <w:r w:rsidRPr="00B357D2">
        <w:rPr>
          <w:lang w:val="en-GB"/>
        </w:rPr>
        <w:t>Observation 7</w:t>
      </w:r>
      <w:r>
        <w:rPr>
          <w:rFonts w:asciiTheme="minorHAnsi" w:eastAsiaTheme="minorEastAsia" w:hAnsiTheme="minorHAnsi" w:cstheme="minorBidi"/>
          <w:b w:val="0"/>
          <w:sz w:val="22"/>
          <w:lang w:eastAsia="en-US"/>
        </w:rPr>
        <w:tab/>
      </w:r>
      <w:r w:rsidRPr="00B357D2">
        <w:rPr>
          <w:lang w:val="en-GB"/>
        </w:rPr>
        <w:t>For CE mode A and FDD and a system configuration for minimum DCI, the total size of DCI format 6-1A is one bit larger than DCI format 6-0A.</w:t>
      </w:r>
    </w:p>
    <w:p w14:paraId="3F95CFA7" w14:textId="77777777" w:rsidR="00725BFD" w:rsidRDefault="00725BFD">
      <w:pPr>
        <w:pStyle w:val="TOC1"/>
        <w:rPr>
          <w:rFonts w:asciiTheme="minorHAnsi" w:eastAsiaTheme="minorEastAsia" w:hAnsiTheme="minorHAnsi" w:cstheme="minorBidi"/>
          <w:b w:val="0"/>
          <w:sz w:val="22"/>
          <w:lang w:eastAsia="en-US"/>
        </w:rPr>
      </w:pPr>
      <w:r w:rsidRPr="00B357D2">
        <w:rPr>
          <w:lang w:val="en-GB"/>
        </w:rPr>
        <w:t>Observation 8</w:t>
      </w:r>
      <w:r>
        <w:rPr>
          <w:rFonts w:asciiTheme="minorHAnsi" w:eastAsiaTheme="minorEastAsia" w:hAnsiTheme="minorHAnsi" w:cstheme="minorBidi"/>
          <w:b w:val="0"/>
          <w:sz w:val="22"/>
          <w:lang w:eastAsia="en-US"/>
        </w:rPr>
        <w:tab/>
      </w:r>
      <w:r w:rsidRPr="00B357D2">
        <w:rPr>
          <w:lang w:val="en-GB"/>
        </w:rPr>
        <w:t>For CE mode A and TDD and a system configuration for minimum DCI, the total size of DCI format 6-1A and DCI format 6-0A is the same.</w:t>
      </w:r>
    </w:p>
    <w:p w14:paraId="714C209E" w14:textId="77777777" w:rsidR="00725BFD" w:rsidRDefault="00725BFD">
      <w:pPr>
        <w:pStyle w:val="TOC1"/>
        <w:rPr>
          <w:rFonts w:asciiTheme="minorHAnsi" w:eastAsiaTheme="minorEastAsia" w:hAnsiTheme="minorHAnsi" w:cstheme="minorBidi"/>
          <w:b w:val="0"/>
          <w:sz w:val="22"/>
          <w:lang w:eastAsia="en-US"/>
        </w:rPr>
      </w:pPr>
      <w:r w:rsidRPr="00B357D2">
        <w:rPr>
          <w:lang w:val="en-GB"/>
        </w:rPr>
        <w:t>Observation 9</w:t>
      </w:r>
      <w:r>
        <w:rPr>
          <w:rFonts w:asciiTheme="minorHAnsi" w:eastAsiaTheme="minorEastAsia" w:hAnsiTheme="minorHAnsi" w:cstheme="minorBidi"/>
          <w:b w:val="0"/>
          <w:sz w:val="22"/>
          <w:lang w:eastAsia="en-US"/>
        </w:rPr>
        <w:tab/>
      </w:r>
      <w:r w:rsidRPr="00B357D2">
        <w:rPr>
          <w:lang w:val="en-GB"/>
        </w:rPr>
        <w:t>For CE mode A and configuring a UE with Rel-14 enhancements (PUSCH and scheduling enhancements as well as HARQ-ACK bundling) results in that DCI format 6-1A is 3 bits larger than format 6-0A for FDD and 2 bits larger for TDD.</w:t>
      </w:r>
    </w:p>
    <w:p w14:paraId="108C3D45" w14:textId="77777777" w:rsidR="00725BFD" w:rsidRDefault="00725BFD">
      <w:pPr>
        <w:pStyle w:val="TOC1"/>
        <w:rPr>
          <w:rFonts w:asciiTheme="minorHAnsi" w:eastAsiaTheme="minorEastAsia" w:hAnsiTheme="minorHAnsi" w:cstheme="minorBidi"/>
          <w:b w:val="0"/>
          <w:sz w:val="22"/>
          <w:lang w:eastAsia="en-US"/>
        </w:rPr>
      </w:pPr>
      <w:r w:rsidRPr="00B357D2">
        <w:rPr>
          <w:lang w:val="en-GB"/>
        </w:rPr>
        <w:t>Observation 10</w:t>
      </w:r>
      <w:r>
        <w:rPr>
          <w:rFonts w:asciiTheme="minorHAnsi" w:eastAsiaTheme="minorEastAsia" w:hAnsiTheme="minorHAnsi" w:cstheme="minorBidi"/>
          <w:b w:val="0"/>
          <w:sz w:val="22"/>
          <w:lang w:eastAsia="en-US"/>
        </w:rPr>
        <w:tab/>
      </w:r>
      <w:r w:rsidRPr="00B357D2">
        <w:t>Use of TM6 or TM9 further increases the size of DCI format 6-1A.</w:t>
      </w:r>
    </w:p>
    <w:p w14:paraId="6F173AE2" w14:textId="77777777" w:rsidR="00725BFD" w:rsidRDefault="00725BFD">
      <w:pPr>
        <w:pStyle w:val="TOC1"/>
        <w:rPr>
          <w:rFonts w:asciiTheme="minorHAnsi" w:eastAsiaTheme="minorEastAsia" w:hAnsiTheme="minorHAnsi" w:cstheme="minorBidi"/>
          <w:b w:val="0"/>
          <w:sz w:val="22"/>
          <w:lang w:eastAsia="en-US"/>
        </w:rPr>
      </w:pPr>
      <w:r w:rsidRPr="00B357D2">
        <w:t>Observation 11</w:t>
      </w:r>
      <w:r>
        <w:rPr>
          <w:rFonts w:asciiTheme="minorHAnsi" w:eastAsiaTheme="minorEastAsia" w:hAnsiTheme="minorHAnsi" w:cstheme="minorBidi"/>
          <w:b w:val="0"/>
          <w:sz w:val="22"/>
          <w:lang w:eastAsia="en-US"/>
        </w:rPr>
        <w:tab/>
      </w:r>
      <w:r>
        <w:t>For CE mode B, the size of DCI formats 6-0B and 6-1B is the same.</w:t>
      </w:r>
    </w:p>
    <w:p w14:paraId="31933A42" w14:textId="35C08E5A" w:rsidR="00FC6DDB" w:rsidRDefault="00C61BF7" w:rsidP="00FA0FC6">
      <w:pPr>
        <w:pStyle w:val="TOC1"/>
        <w:rPr>
          <w:rFonts w:cs="Arial"/>
          <w:b w:val="0"/>
          <w:bCs/>
          <w:szCs w:val="20"/>
          <w:highlight w:val="yellow"/>
        </w:rPr>
      </w:pPr>
      <w:r w:rsidRPr="008D68FB">
        <w:rPr>
          <w:rFonts w:cs="Arial"/>
          <w:b w:val="0"/>
          <w:bCs/>
          <w:szCs w:val="20"/>
          <w:highlight w:val="yellow"/>
        </w:rPr>
        <w:fldChar w:fldCharType="end"/>
      </w:r>
    </w:p>
    <w:p w14:paraId="3DEF1C93" w14:textId="03501070" w:rsidR="008B665A" w:rsidRPr="00030884" w:rsidRDefault="008B665A" w:rsidP="00FA0FC6">
      <w:pPr>
        <w:pStyle w:val="TOC1"/>
        <w:ind w:left="0" w:firstLine="0"/>
        <w:rPr>
          <w:b w:val="0"/>
        </w:rPr>
      </w:pPr>
      <w:r w:rsidRPr="00030884">
        <w:rPr>
          <w:b w:val="0"/>
        </w:rPr>
        <w:t xml:space="preserve">Based on the discussion </w:t>
      </w:r>
      <w:r w:rsidR="00F54B76">
        <w:rPr>
          <w:b w:val="0"/>
        </w:rPr>
        <w:t>above</w:t>
      </w:r>
      <w:r w:rsidRPr="00030884">
        <w:rPr>
          <w:b w:val="0"/>
        </w:rPr>
        <w:t xml:space="preserve"> we propose the following:</w:t>
      </w:r>
    </w:p>
    <w:p w14:paraId="1927F93D" w14:textId="77777777" w:rsidR="008B665A" w:rsidRPr="00030884" w:rsidRDefault="008B665A" w:rsidP="008B665A">
      <w:pPr>
        <w:pStyle w:val="TOC1"/>
        <w:rPr>
          <w:b w:val="0"/>
        </w:rPr>
      </w:pPr>
    </w:p>
    <w:p w14:paraId="41E57398" w14:textId="77777777" w:rsidR="00725BFD" w:rsidRDefault="008B665A">
      <w:pPr>
        <w:pStyle w:val="TOC1"/>
        <w:rPr>
          <w:rFonts w:asciiTheme="minorHAnsi" w:eastAsiaTheme="minorEastAsia" w:hAnsiTheme="minorHAnsi" w:cstheme="minorBidi"/>
          <w:b w:val="0"/>
          <w:sz w:val="22"/>
          <w:lang w:eastAsia="en-US"/>
        </w:rPr>
      </w:pPr>
      <w:r w:rsidRPr="00030884">
        <w:rPr>
          <w:b w:val="0"/>
          <w:bCs/>
        </w:rPr>
        <w:fldChar w:fldCharType="begin"/>
      </w:r>
      <w:r w:rsidRPr="00030884">
        <w:rPr>
          <w:bCs/>
        </w:rPr>
        <w:instrText xml:space="preserve"> TOC \f \n \p " " \t "Proposal;1" </w:instrText>
      </w:r>
      <w:r w:rsidRPr="00030884">
        <w:rPr>
          <w:b w:val="0"/>
          <w:bCs/>
        </w:rPr>
        <w:fldChar w:fldCharType="separate"/>
      </w:r>
      <w:r w:rsidR="00725BFD">
        <w:t>Proposal 1</w:t>
      </w:r>
      <w:r w:rsidR="00725BFD">
        <w:rPr>
          <w:rFonts w:asciiTheme="minorHAnsi" w:eastAsiaTheme="minorEastAsia" w:hAnsiTheme="minorHAnsi" w:cstheme="minorBidi"/>
          <w:b w:val="0"/>
          <w:sz w:val="22"/>
          <w:lang w:eastAsia="en-US"/>
        </w:rPr>
        <w:tab/>
      </w:r>
      <w:r w:rsidR="00725BFD">
        <w:t>For PDSCH in CE mode A and 1.4 MHz BL/CE UE, use the RIV values 21-31 to extend the starting PRB for the resource allocation, with the RIV values 21-31 defined as in Table 1.</w:t>
      </w:r>
    </w:p>
    <w:p w14:paraId="1A905973" w14:textId="77777777" w:rsidR="00725BFD" w:rsidRDefault="00725BFD">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For PDSCH in CE mode B and 1.4 MHz BL/CE UE, use an RRC indication (ON/OFF) to semi-statically adjust the starting PRB of the resource allocation according to Table 2.</w:t>
      </w:r>
    </w:p>
    <w:p w14:paraId="2EC45257" w14:textId="77777777" w:rsidR="00725BFD" w:rsidRDefault="00725BFD">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For FDD and PUSCH in CE mode A and 1.4 MHz BL/CE UE, use Resource allocation type 2 with starting PRB within the full system BW.</w:t>
      </w:r>
    </w:p>
    <w:p w14:paraId="3C97AAF9" w14:textId="77777777" w:rsidR="00725BFD" w:rsidRDefault="00725BFD">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For TDD and PUSCH in CE mode A, if the RIV values 21-31 are used to extend the starting PRB for PUSCH resource allocation, the RIV values 21-31 are defined as in Table 1.</w:t>
      </w:r>
    </w:p>
    <w:p w14:paraId="2186E45B" w14:textId="77777777" w:rsidR="00725BFD" w:rsidRDefault="00725BFD">
      <w:pPr>
        <w:pStyle w:val="TOC1"/>
        <w:rPr>
          <w:rFonts w:asciiTheme="minorHAnsi" w:eastAsiaTheme="minorEastAsia" w:hAnsiTheme="minorHAnsi" w:cstheme="minorBidi"/>
          <w:b w:val="0"/>
          <w:sz w:val="22"/>
          <w:lang w:eastAsia="en-US"/>
        </w:rPr>
      </w:pPr>
      <w:r w:rsidRPr="00734A4F">
        <w:rPr>
          <w:lang w:val="en-GB"/>
        </w:rPr>
        <w:t>Proposal 5</w:t>
      </w:r>
      <w:r>
        <w:rPr>
          <w:rFonts w:asciiTheme="minorHAnsi" w:eastAsiaTheme="minorEastAsia" w:hAnsiTheme="minorHAnsi" w:cstheme="minorBidi"/>
          <w:b w:val="0"/>
          <w:sz w:val="22"/>
          <w:lang w:eastAsia="en-US"/>
        </w:rPr>
        <w:tab/>
      </w:r>
      <w:r w:rsidRPr="00734A4F">
        <w:rPr>
          <w:lang w:val="en-GB"/>
        </w:rPr>
        <w:t>Flexible starting PUSCH PRB for BL/CE UE configured with 5 MHz max PUSCH channel bandwidth is not considered further in Rel-15</w:t>
      </w:r>
      <w:r>
        <w:t>.</w:t>
      </w:r>
    </w:p>
    <w:p w14:paraId="4EF33EFD" w14:textId="77777777" w:rsidR="00725BFD" w:rsidRDefault="00725BFD">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For PUSCH in CE mode B and 1.4 MHz BL/CE UE, use RRC signaling to semi-statically adjust the starting PRB of the resource allocation for 2 PRBs by {1, 2, 3} PRBs towards higher PRB index.</w:t>
      </w:r>
    </w:p>
    <w:p w14:paraId="64C45822" w14:textId="77777777" w:rsidR="00725BFD" w:rsidRDefault="00725BFD">
      <w:pPr>
        <w:pStyle w:val="TOC1"/>
        <w:rPr>
          <w:rFonts w:asciiTheme="minorHAnsi" w:eastAsiaTheme="minorEastAsia" w:hAnsiTheme="minorHAnsi" w:cstheme="minorBidi"/>
          <w:b w:val="0"/>
          <w:sz w:val="22"/>
          <w:lang w:eastAsia="en-US"/>
        </w:rPr>
      </w:pPr>
      <w:r>
        <w:lastRenderedPageBreak/>
        <w:t>Proposal 7</w:t>
      </w:r>
      <w:r>
        <w:rPr>
          <w:rFonts w:asciiTheme="minorHAnsi" w:eastAsiaTheme="minorEastAsia" w:hAnsiTheme="minorHAnsi" w:cstheme="minorBidi"/>
          <w:b w:val="0"/>
          <w:sz w:val="22"/>
          <w:lang w:eastAsia="en-US"/>
        </w:rPr>
        <w:tab/>
      </w:r>
      <w:r>
        <w:t xml:space="preserve">For flexible starting PRB for PDSCH and CE mode A and system bandwidth 10MHz and 20MHz, </w:t>
      </w:r>
      <w:r w:rsidRPr="00734A4F">
        <w:rPr>
          <w:lang w:val="en-GB"/>
        </w:rPr>
        <w:t xml:space="preserve">the legacy </w:t>
      </w:r>
      <w:r>
        <w:t>BL/CE UE frequency hopping is followed</w:t>
      </w:r>
    </w:p>
    <w:p w14:paraId="5B760397" w14:textId="77777777" w:rsidR="00725BFD" w:rsidRDefault="00725BFD">
      <w:pPr>
        <w:pStyle w:val="TOC1"/>
        <w:rPr>
          <w:rFonts w:asciiTheme="minorHAnsi" w:eastAsiaTheme="minorEastAsia" w:hAnsiTheme="minorHAnsi" w:cstheme="minorBidi"/>
          <w:b w:val="0"/>
          <w:sz w:val="22"/>
          <w:lang w:eastAsia="en-US"/>
        </w:rPr>
      </w:pPr>
      <w:r>
        <w:t>Proposal 8</w:t>
      </w:r>
      <w:r>
        <w:rPr>
          <w:rFonts w:asciiTheme="minorHAnsi" w:eastAsiaTheme="minorEastAsia" w:hAnsiTheme="minorHAnsi" w:cstheme="minorBidi"/>
          <w:b w:val="0"/>
          <w:sz w:val="22"/>
          <w:lang w:eastAsia="en-US"/>
        </w:rPr>
        <w:tab/>
      </w:r>
      <w:r>
        <w:t xml:space="preserve">For flexible starting PRB for PDSCH and CE mode A and system bandwidth 3MHz, 5MHz, and 15MHz, </w:t>
      </w:r>
      <w:r w:rsidRPr="00734A4F">
        <w:rPr>
          <w:lang w:val="en-GB"/>
        </w:rPr>
        <w:t xml:space="preserve">the legacy </w:t>
      </w:r>
      <w:r>
        <w:t>BL/CE UE frequency hopping is followed</w:t>
      </w:r>
      <w:r w:rsidRPr="00734A4F">
        <w:rPr>
          <w:lang w:val="en-GB"/>
        </w:rPr>
        <w:t xml:space="preserve"> with the exception that </w:t>
      </w:r>
      <w:r>
        <w:t>an additional shift of 1 PRB towards the center frequency is applied to the frequency hopping narrowband if the original narrowband and the frequency hopping narrowband are on opposite sides of the center frequency.</w:t>
      </w:r>
    </w:p>
    <w:p w14:paraId="59749FA1" w14:textId="77777777" w:rsidR="00725BFD" w:rsidRDefault="00725BFD">
      <w:pPr>
        <w:pStyle w:val="TOC1"/>
        <w:rPr>
          <w:rFonts w:asciiTheme="minorHAnsi" w:eastAsiaTheme="minorEastAsia" w:hAnsiTheme="minorHAnsi" w:cstheme="minorBidi"/>
          <w:b w:val="0"/>
          <w:sz w:val="22"/>
          <w:lang w:eastAsia="en-US"/>
        </w:rPr>
      </w:pPr>
      <w:r>
        <w:t>Proposal 9</w:t>
      </w:r>
      <w:r>
        <w:rPr>
          <w:rFonts w:asciiTheme="minorHAnsi" w:eastAsiaTheme="minorEastAsia" w:hAnsiTheme="minorHAnsi" w:cstheme="minorBidi"/>
          <w:b w:val="0"/>
          <w:sz w:val="22"/>
          <w:lang w:eastAsia="en-US"/>
        </w:rPr>
        <w:tab/>
      </w:r>
      <w:r>
        <w:t>For flexible starting PRB for PDSCH and CE mode B, the legacy BL/CE UE frequency hopping is followed.</w:t>
      </w:r>
    </w:p>
    <w:p w14:paraId="6A1CD347" w14:textId="77777777" w:rsidR="00725BFD" w:rsidRDefault="00725BFD">
      <w:pPr>
        <w:pStyle w:val="TOC1"/>
        <w:rPr>
          <w:rFonts w:asciiTheme="minorHAnsi" w:eastAsiaTheme="minorEastAsia" w:hAnsiTheme="minorHAnsi" w:cstheme="minorBidi"/>
          <w:b w:val="0"/>
          <w:sz w:val="22"/>
          <w:lang w:eastAsia="en-US"/>
        </w:rPr>
      </w:pPr>
      <w:r w:rsidRPr="00734A4F">
        <w:rPr>
          <w:lang w:val="en-GB"/>
        </w:rPr>
        <w:t>Proposal 10</w:t>
      </w:r>
      <w:r>
        <w:rPr>
          <w:rFonts w:asciiTheme="minorHAnsi" w:eastAsiaTheme="minorEastAsia" w:hAnsiTheme="minorHAnsi" w:cstheme="minorBidi"/>
          <w:b w:val="0"/>
          <w:sz w:val="22"/>
          <w:lang w:eastAsia="en-US"/>
        </w:rPr>
        <w:tab/>
      </w:r>
      <w:r>
        <w:t xml:space="preserve">For flexible starting PRB for PUSCH and CE mode </w:t>
      </w:r>
      <w:r w:rsidRPr="00734A4F">
        <w:rPr>
          <w:lang w:val="en-GB"/>
        </w:rPr>
        <w:t>A</w:t>
      </w:r>
      <w:r>
        <w:t xml:space="preserve"> with Resource allocation type 2 with starting PRB within the full system BW, an implicit narrowband used for computing the frequency hopping narrowband is defined as the narrowband that contains the starting PRB of the allocation.</w:t>
      </w:r>
    </w:p>
    <w:p w14:paraId="6EE24B4B" w14:textId="77777777" w:rsidR="00725BFD" w:rsidRDefault="00725BFD">
      <w:pPr>
        <w:pStyle w:val="TOC1"/>
        <w:rPr>
          <w:rFonts w:asciiTheme="minorHAnsi" w:eastAsiaTheme="minorEastAsia" w:hAnsiTheme="minorHAnsi" w:cstheme="minorBidi"/>
          <w:b w:val="0"/>
          <w:sz w:val="22"/>
          <w:lang w:eastAsia="en-US"/>
        </w:rPr>
      </w:pPr>
      <w:r w:rsidRPr="00734A4F">
        <w:rPr>
          <w:lang w:val="en-GB"/>
        </w:rPr>
        <w:t>Proposal 11</w:t>
      </w:r>
      <w:r>
        <w:rPr>
          <w:rFonts w:asciiTheme="minorHAnsi" w:eastAsiaTheme="minorEastAsia" w:hAnsiTheme="minorHAnsi" w:cstheme="minorBidi"/>
          <w:b w:val="0"/>
          <w:sz w:val="22"/>
          <w:lang w:eastAsia="en-US"/>
        </w:rPr>
        <w:tab/>
      </w:r>
      <w:r w:rsidRPr="00734A4F">
        <w:rPr>
          <w:lang w:val="en-GB"/>
        </w:rPr>
        <w:t xml:space="preserve">For flexible starting PRB for PUSCH resource allocation, the legacy </w:t>
      </w:r>
      <w:r>
        <w:t>BL/CE UE frequency hopping is followed</w:t>
      </w:r>
      <w:r w:rsidRPr="00734A4F">
        <w:rPr>
          <w:lang w:val="en-GB"/>
        </w:rPr>
        <w:t>.</w:t>
      </w:r>
    </w:p>
    <w:p w14:paraId="65526E96" w14:textId="0F90D26E" w:rsidR="002C0CBD" w:rsidRPr="003A0E74" w:rsidRDefault="008B665A" w:rsidP="00D70E5B">
      <w:pPr>
        <w:rPr>
          <w:highlight w:val="yellow"/>
          <w:lang w:val="en-GB" w:eastAsia="zh-CN"/>
        </w:rPr>
      </w:pPr>
      <w:r w:rsidRPr="00030884">
        <w:rPr>
          <w:b/>
          <w:bCs/>
        </w:rPr>
        <w:fldChar w:fldCharType="end"/>
      </w:r>
      <w:bookmarkStart w:id="220" w:name="_Toc481758811"/>
      <w:bookmarkStart w:id="221" w:name="_Toc481759201"/>
      <w:bookmarkStart w:id="222" w:name="_Toc481761659"/>
      <w:bookmarkStart w:id="223" w:name="_Toc481765718"/>
      <w:bookmarkStart w:id="224" w:name="_Toc481765766"/>
      <w:bookmarkStart w:id="225" w:name="_Toc481766048"/>
      <w:bookmarkStart w:id="226" w:name="_Toc481766057"/>
      <w:bookmarkStart w:id="227" w:name="_Toc490153043"/>
      <w:bookmarkStart w:id="228" w:name="_Toc490153108"/>
      <w:bookmarkStart w:id="229" w:name="_Toc490228960"/>
      <w:bookmarkStart w:id="230" w:name="_Toc490229029"/>
    </w:p>
    <w:bookmarkEnd w:id="220"/>
    <w:bookmarkEnd w:id="221"/>
    <w:bookmarkEnd w:id="222"/>
    <w:bookmarkEnd w:id="223"/>
    <w:bookmarkEnd w:id="224"/>
    <w:bookmarkEnd w:id="225"/>
    <w:bookmarkEnd w:id="226"/>
    <w:bookmarkEnd w:id="227"/>
    <w:bookmarkEnd w:id="228"/>
    <w:bookmarkEnd w:id="229"/>
    <w:bookmarkEnd w:id="230"/>
    <w:p w14:paraId="4CAD3BB4" w14:textId="10ACB1EF" w:rsidR="006D5671" w:rsidRPr="003A5895" w:rsidRDefault="006D5671" w:rsidP="003A5895">
      <w:pPr>
        <w:pStyle w:val="Heading1"/>
        <w:rPr>
          <w:lang w:val="en-US"/>
        </w:rPr>
      </w:pPr>
      <w:r w:rsidRPr="003A5895">
        <w:rPr>
          <w:lang w:val="en-US"/>
        </w:rPr>
        <w:t>References</w:t>
      </w:r>
    </w:p>
    <w:p w14:paraId="074FE6F3" w14:textId="45DB62F2" w:rsidR="006D5671" w:rsidRPr="001243CC" w:rsidRDefault="005D3174" w:rsidP="006D5671">
      <w:pPr>
        <w:pStyle w:val="Reference"/>
        <w:rPr>
          <w:lang w:eastAsia="zh-CN"/>
        </w:rPr>
      </w:pPr>
      <w:bookmarkStart w:id="231" w:name="_Ref504487352"/>
      <w:r w:rsidRPr="001243CC">
        <w:rPr>
          <w:lang w:eastAsia="zh-CN"/>
        </w:rPr>
        <w:t>RP-172811, “</w:t>
      </w:r>
      <w:r w:rsidR="006D5671" w:rsidRPr="001243CC">
        <w:rPr>
          <w:lang w:eastAsia="zh-CN"/>
        </w:rPr>
        <w:t>Revised WID on Even further enhanced MTC for LTE</w:t>
      </w:r>
      <w:r w:rsidRPr="001243CC">
        <w:rPr>
          <w:lang w:eastAsia="zh-CN"/>
        </w:rPr>
        <w:t>”</w:t>
      </w:r>
      <w:bookmarkEnd w:id="231"/>
      <w:r w:rsidR="006D5671" w:rsidRPr="001243CC">
        <w:rPr>
          <w:lang w:eastAsia="zh-CN"/>
        </w:rPr>
        <w:t xml:space="preserve"> </w:t>
      </w:r>
    </w:p>
    <w:p w14:paraId="271D9979" w14:textId="5D2913AD" w:rsidR="006D5671" w:rsidRDefault="00833841" w:rsidP="006D5671">
      <w:pPr>
        <w:pStyle w:val="Reference"/>
        <w:rPr>
          <w:lang w:eastAsia="zh-CN"/>
        </w:rPr>
      </w:pPr>
      <w:bookmarkStart w:id="232" w:name="_Ref504487373"/>
      <w:r w:rsidRPr="003B6794">
        <w:rPr>
          <w:lang w:val="en-GB"/>
        </w:rPr>
        <w:t>R1-1717001</w:t>
      </w:r>
      <w:r w:rsidR="005D3174">
        <w:t xml:space="preserve">, </w:t>
      </w:r>
      <w:r w:rsidR="00A21ECF">
        <w:t>“</w:t>
      </w:r>
      <w:r w:rsidR="005D3174">
        <w:t>F</w:t>
      </w:r>
      <w:r w:rsidR="006D5671" w:rsidRPr="006D5671">
        <w:t>lexible PDSCH/PUSCH resource allocation for MTC</w:t>
      </w:r>
      <w:r w:rsidR="00A21ECF">
        <w:t>”</w:t>
      </w:r>
      <w:r w:rsidR="005D3174">
        <w:t>, Ericsson</w:t>
      </w:r>
      <w:bookmarkEnd w:id="232"/>
    </w:p>
    <w:p w14:paraId="6589C6F1" w14:textId="6544E997" w:rsidR="003D4BE4" w:rsidRDefault="003D4BE4" w:rsidP="006D5671">
      <w:pPr>
        <w:pStyle w:val="Reference"/>
        <w:rPr>
          <w:lang w:eastAsia="zh-CN"/>
        </w:rPr>
      </w:pPr>
      <w:bookmarkStart w:id="233" w:name="_Ref505974664"/>
      <w:r>
        <w:t>3GPP TS 36.213</w:t>
      </w:r>
      <w:bookmarkEnd w:id="233"/>
    </w:p>
    <w:p w14:paraId="1FC241F0" w14:textId="29DE5A8B" w:rsidR="000F61A2" w:rsidRDefault="000F61A2" w:rsidP="006D5671">
      <w:pPr>
        <w:pStyle w:val="Reference"/>
        <w:rPr>
          <w:lang w:eastAsia="zh-CN"/>
        </w:rPr>
      </w:pPr>
      <w:bookmarkStart w:id="234" w:name="_Ref510533522"/>
      <w:r>
        <w:rPr>
          <w:lang w:eastAsia="zh-CN"/>
        </w:rPr>
        <w:t>3GPP TS 36.212</w:t>
      </w:r>
      <w:bookmarkEnd w:id="234"/>
    </w:p>
    <w:p w14:paraId="4DB37F89" w14:textId="53CD5CC4" w:rsidR="00670E4D" w:rsidRDefault="00670E4D" w:rsidP="006D5671">
      <w:pPr>
        <w:pStyle w:val="Reference"/>
        <w:rPr>
          <w:lang w:eastAsia="zh-CN"/>
        </w:rPr>
      </w:pPr>
      <w:bookmarkStart w:id="235" w:name="_Ref505981342"/>
      <w:r>
        <w:t>3GPP TS 36.211</w:t>
      </w:r>
      <w:bookmarkEnd w:id="235"/>
    </w:p>
    <w:p w14:paraId="0361FA6D" w14:textId="08B99D8B" w:rsidR="00870EE9" w:rsidRDefault="00870EE9" w:rsidP="00870EE9">
      <w:pPr>
        <w:pStyle w:val="Reference"/>
        <w:rPr>
          <w:lang w:eastAsia="zh-CN"/>
        </w:rPr>
      </w:pPr>
      <w:bookmarkStart w:id="236" w:name="_Ref510537625"/>
      <w:r>
        <w:rPr>
          <w:lang w:eastAsia="zh-CN"/>
        </w:rPr>
        <w:t>R1-1801601, “Flexible starting PRB of PUSCH/PDSCH for MTC”, ZTE</w:t>
      </w:r>
      <w:bookmarkEnd w:id="236"/>
    </w:p>
    <w:p w14:paraId="4C8984D8" w14:textId="402DA8D4" w:rsidR="003A0E74" w:rsidRDefault="00870EE9" w:rsidP="004212C6">
      <w:pPr>
        <w:pStyle w:val="Reference"/>
        <w:rPr>
          <w:lang w:eastAsia="zh-CN"/>
        </w:rPr>
      </w:pPr>
      <w:bookmarkStart w:id="237" w:name="_Ref510537627"/>
      <w:r>
        <w:rPr>
          <w:lang w:eastAsia="zh-CN"/>
        </w:rPr>
        <w:t>R1-1802330, “Flexible allocation for PDSCH and PUSCH for efeMTC”, Qualcomm Incorporated</w:t>
      </w:r>
      <w:bookmarkEnd w:id="237"/>
    </w:p>
    <w:p w14:paraId="32B29E50" w14:textId="5D8BD435" w:rsidR="000F674B" w:rsidRDefault="000F674B" w:rsidP="000F674B">
      <w:pPr>
        <w:pStyle w:val="Reference"/>
        <w:rPr>
          <w:lang w:eastAsia="zh-CN"/>
        </w:rPr>
      </w:pPr>
      <w:bookmarkStart w:id="238" w:name="_Ref513189389"/>
      <w:r w:rsidRPr="000F674B">
        <w:rPr>
          <w:lang w:eastAsia="zh-CN"/>
        </w:rPr>
        <w:t>R1-1805272</w:t>
      </w:r>
      <w:r>
        <w:rPr>
          <w:lang w:eastAsia="zh-CN"/>
        </w:rPr>
        <w:t>, “</w:t>
      </w:r>
      <w:r w:rsidRPr="000F674B">
        <w:rPr>
          <w:lang w:eastAsia="zh-CN"/>
        </w:rPr>
        <w:t>Summary on Flexible PDSCH/PUSCH starting PRB</w:t>
      </w:r>
      <w:r>
        <w:rPr>
          <w:lang w:eastAsia="zh-CN"/>
        </w:rPr>
        <w:t xml:space="preserve">”, </w:t>
      </w:r>
      <w:r w:rsidRPr="000F674B">
        <w:rPr>
          <w:lang w:eastAsia="zh-CN"/>
        </w:rPr>
        <w:t>Samsung</w:t>
      </w:r>
      <w:bookmarkEnd w:id="238"/>
    </w:p>
    <w:p w14:paraId="58FD594E" w14:textId="77777777" w:rsidR="002D5614" w:rsidRPr="007E5C8E" w:rsidRDefault="002D5614" w:rsidP="002D5614">
      <w:pPr>
        <w:pStyle w:val="Heading1"/>
      </w:pPr>
      <w:bookmarkStart w:id="239" w:name="_Ref513193801"/>
      <w:r>
        <w:t>Appendix A: Background</w:t>
      </w:r>
      <w:bookmarkEnd w:id="239"/>
    </w:p>
    <w:p w14:paraId="0A57F97A" w14:textId="1F3A59CE" w:rsidR="002D5614" w:rsidRDefault="002D5614" w:rsidP="002D5614">
      <w:r>
        <w:t xml:space="preserve">As discussed in </w:t>
      </w:r>
      <w:r>
        <w:fldChar w:fldCharType="begin"/>
      </w:r>
      <w:r>
        <w:instrText xml:space="preserve"> REF _Ref504487373 \r \h </w:instrText>
      </w:r>
      <w:r>
        <w:fldChar w:fldCharType="separate"/>
      </w:r>
      <w:r w:rsidR="00725BFD">
        <w:t>[2]</w:t>
      </w:r>
      <w:r>
        <w:fldChar w:fldCharType="end"/>
      </w:r>
      <w:r>
        <w:t>, i</w:t>
      </w:r>
      <w:r w:rsidRPr="00030884">
        <w:t>t has been observed that the misalignment between the BL/CE narrowband (NB) and the LTE resource block groups (RBG) may cause inefficient utilization of the downlink PRBs</w:t>
      </w:r>
      <w:r>
        <w:t xml:space="preserve"> in certain traffic conditions. </w:t>
      </w:r>
      <w:r w:rsidRPr="00030884">
        <w:t xml:space="preserve">Also, for the uplink the allocation of BL/CE UEs with the current narrowbands may lead to inefficient utilization of the uplink PRBs. </w:t>
      </w:r>
    </w:p>
    <w:p w14:paraId="6C0A85A0" w14:textId="61D3F612" w:rsidR="002D5614" w:rsidRDefault="002D5614" w:rsidP="002D5614">
      <w:r>
        <w:t xml:space="preserve">The alignment between the CE mode narrowbands and the downlink RBG for system bandwidth 3 to 20 MHz is depicted in </w:t>
      </w:r>
      <w:r>
        <w:fldChar w:fldCharType="begin"/>
      </w:r>
      <w:r>
        <w:instrText xml:space="preserve"> REF _Ref505936912 \h </w:instrText>
      </w:r>
      <w:r>
        <w:fldChar w:fldCharType="separate"/>
      </w:r>
      <w:r w:rsidR="00725BFD">
        <w:t xml:space="preserve">Figure </w:t>
      </w:r>
      <w:r w:rsidR="00725BFD">
        <w:rPr>
          <w:noProof/>
        </w:rPr>
        <w:t>5</w:t>
      </w:r>
      <w:r>
        <w:fldChar w:fldCharType="end"/>
      </w:r>
      <w:r>
        <w:t xml:space="preserve">. </w:t>
      </w:r>
    </w:p>
    <w:p w14:paraId="6AB52FD4" w14:textId="77777777" w:rsidR="002D5614" w:rsidRDefault="002D5614" w:rsidP="002D5614"/>
    <w:p w14:paraId="43F8B6A6" w14:textId="77777777" w:rsidR="002D5614" w:rsidRDefault="002D5614" w:rsidP="002D5614">
      <w:pPr>
        <w:keepNext/>
      </w:pPr>
      <w:r>
        <w:rPr>
          <w:noProof/>
        </w:rPr>
        <w:lastRenderedPageBreak/>
        <w:drawing>
          <wp:inline distT="0" distB="0" distL="0" distR="0" wp14:anchorId="1814158B" wp14:editId="558B3C27">
            <wp:extent cx="6115050" cy="3657600"/>
            <wp:effectExtent l="0" t="0" r="0" b="0"/>
            <wp:docPr id="6" name="Picture 6" descr="C:\Users\erauae\Desktop\Studies\STAR\Flexible starting PRB\NarrowbandAndRb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C:\Users\erauae\Desktop\Studies\STAR\Flexible starting PRB\NarrowbandAndRbg.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15050" cy="3657600"/>
                    </a:xfrm>
                    <a:prstGeom prst="rect">
                      <a:avLst/>
                    </a:prstGeom>
                    <a:noFill/>
                    <a:ln>
                      <a:noFill/>
                    </a:ln>
                  </pic:spPr>
                </pic:pic>
              </a:graphicData>
            </a:graphic>
          </wp:inline>
        </w:drawing>
      </w:r>
    </w:p>
    <w:p w14:paraId="3783E7F4" w14:textId="3DAAD626" w:rsidR="002D5614" w:rsidRDefault="002D5614" w:rsidP="002D5614">
      <w:pPr>
        <w:pStyle w:val="Caption"/>
      </w:pPr>
      <w:bookmarkStart w:id="240" w:name="_Ref505936912"/>
      <w:r>
        <w:t xml:space="preserve">Figure </w:t>
      </w:r>
      <w:r w:rsidR="0092669D">
        <w:fldChar w:fldCharType="begin"/>
      </w:r>
      <w:r w:rsidR="0092669D">
        <w:instrText xml:space="preserve"> SEQ Figure \* ARABIC </w:instrText>
      </w:r>
      <w:r w:rsidR="0092669D">
        <w:fldChar w:fldCharType="separate"/>
      </w:r>
      <w:r w:rsidR="00725BFD">
        <w:rPr>
          <w:noProof/>
        </w:rPr>
        <w:t>5</w:t>
      </w:r>
      <w:r w:rsidR="0092669D">
        <w:rPr>
          <w:noProof/>
        </w:rPr>
        <w:fldChar w:fldCharType="end"/>
      </w:r>
      <w:bookmarkEnd w:id="240"/>
      <w:r>
        <w:t>: Alignment between CE mode narrowband and downlink resource block groups (RBG).</w:t>
      </w:r>
    </w:p>
    <w:p w14:paraId="5A6659D3" w14:textId="70C18185" w:rsidR="002D5614" w:rsidRDefault="002D5614" w:rsidP="002D5614">
      <w:r>
        <w:t xml:space="preserve">The effect of the misalignment between the BL/CE NB and the RBG on the possible utilization of PRBs for one higher category UE when scheduling PDSCH on all 6 PRBs of one narrowband is outlined in </w:t>
      </w:r>
      <w:r>
        <w:fldChar w:fldCharType="begin"/>
      </w:r>
      <w:r>
        <w:instrText xml:space="preserve"> REF _Ref505937880 \h </w:instrText>
      </w:r>
      <w:r>
        <w:fldChar w:fldCharType="separate"/>
      </w:r>
      <w:r w:rsidR="00725BFD">
        <w:t xml:space="preserve">Table </w:t>
      </w:r>
      <w:r w:rsidR="00725BFD">
        <w:rPr>
          <w:noProof/>
        </w:rPr>
        <w:t>4</w:t>
      </w:r>
      <w:r>
        <w:fldChar w:fldCharType="end"/>
      </w:r>
      <w:r>
        <w:t xml:space="preserve">. </w:t>
      </w:r>
    </w:p>
    <w:p w14:paraId="2390D9DB" w14:textId="030FEAA6" w:rsidR="002D5614" w:rsidRDefault="002D5614" w:rsidP="002D5614">
      <w:pPr>
        <w:pStyle w:val="Caption"/>
        <w:keepNext/>
      </w:pPr>
      <w:bookmarkStart w:id="241" w:name="_Ref505937880"/>
      <w:r>
        <w:t xml:space="preserve">Table </w:t>
      </w:r>
      <w:r w:rsidR="0092669D">
        <w:fldChar w:fldCharType="begin"/>
      </w:r>
      <w:r w:rsidR="0092669D">
        <w:instrText xml:space="preserve"> SEQ Table \* ARABIC </w:instrText>
      </w:r>
      <w:r w:rsidR="0092669D">
        <w:fldChar w:fldCharType="separate"/>
      </w:r>
      <w:r w:rsidR="00725BFD">
        <w:rPr>
          <w:noProof/>
        </w:rPr>
        <w:t>4</w:t>
      </w:r>
      <w:r w:rsidR="0092669D">
        <w:rPr>
          <w:noProof/>
        </w:rPr>
        <w:fldChar w:fldCharType="end"/>
      </w:r>
      <w:bookmarkEnd w:id="241"/>
      <w:r>
        <w:t>: Effect of the unused PRBs due to the misalignment of narrowband and resource block group for PDSCH allocation of one single higher Category UE.</w:t>
      </w:r>
    </w:p>
    <w:tbl>
      <w:tblPr>
        <w:tblStyle w:val="TableGrid"/>
        <w:tblW w:w="9865" w:type="dxa"/>
        <w:tblLook w:val="04A0" w:firstRow="1" w:lastRow="0" w:firstColumn="1" w:lastColumn="0" w:noHBand="0" w:noVBand="1"/>
      </w:tblPr>
      <w:tblGrid>
        <w:gridCol w:w="819"/>
        <w:gridCol w:w="866"/>
        <w:gridCol w:w="683"/>
        <w:gridCol w:w="920"/>
        <w:gridCol w:w="923"/>
        <w:gridCol w:w="920"/>
        <w:gridCol w:w="922"/>
        <w:gridCol w:w="940"/>
        <w:gridCol w:w="940"/>
        <w:gridCol w:w="966"/>
        <w:gridCol w:w="966"/>
      </w:tblGrid>
      <w:tr w:rsidR="002D5614" w14:paraId="4E75B712" w14:textId="77777777" w:rsidTr="00205A7E">
        <w:tc>
          <w:tcPr>
            <w:tcW w:w="819" w:type="dxa"/>
            <w:vMerge w:val="restart"/>
            <w:tcBorders>
              <w:top w:val="double" w:sz="4" w:space="0" w:color="auto"/>
              <w:left w:val="double" w:sz="4" w:space="0" w:color="auto"/>
              <w:bottom w:val="single" w:sz="4" w:space="0" w:color="auto"/>
              <w:right w:val="single" w:sz="4" w:space="0" w:color="auto"/>
            </w:tcBorders>
            <w:shd w:val="clear" w:color="auto" w:fill="D5DCE4" w:themeFill="text2" w:themeFillTint="33"/>
            <w:vAlign w:val="center"/>
            <w:hideMark/>
          </w:tcPr>
          <w:p w14:paraId="0702771C" w14:textId="77777777" w:rsidR="002D5614" w:rsidRDefault="002D5614" w:rsidP="00205A7E">
            <w:pPr>
              <w:keepNext/>
              <w:keepLines/>
              <w:spacing w:after="0"/>
              <w:jc w:val="center"/>
              <w:rPr>
                <w:rFonts w:cs="Arial"/>
              </w:rPr>
            </w:pPr>
            <w:r>
              <w:rPr>
                <w:color w:val="000000"/>
                <w:sz w:val="18"/>
                <w:szCs w:val="18"/>
              </w:rPr>
              <w:t>System BW [MHz]</w:t>
            </w:r>
          </w:p>
        </w:tc>
        <w:tc>
          <w:tcPr>
            <w:tcW w:w="866" w:type="dxa"/>
            <w:vMerge w:val="restart"/>
            <w:tcBorders>
              <w:top w:val="doub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04A02AC4" w14:textId="77777777" w:rsidR="002D5614" w:rsidRDefault="002D5614" w:rsidP="00205A7E">
            <w:pPr>
              <w:keepNext/>
              <w:keepLines/>
              <w:spacing w:after="0"/>
              <w:jc w:val="center"/>
              <w:rPr>
                <w:rFonts w:cs="Arial"/>
              </w:rPr>
            </w:pPr>
            <w:r>
              <w:rPr>
                <w:color w:val="000000"/>
                <w:sz w:val="18"/>
                <w:szCs w:val="18"/>
              </w:rPr>
              <w:t>Total number of PRBs</w:t>
            </w:r>
          </w:p>
        </w:tc>
        <w:tc>
          <w:tcPr>
            <w:tcW w:w="683" w:type="dxa"/>
            <w:vMerge w:val="restart"/>
            <w:tcBorders>
              <w:top w:val="double" w:sz="4" w:space="0" w:color="auto"/>
              <w:left w:val="single" w:sz="4" w:space="0" w:color="auto"/>
              <w:bottom w:val="single" w:sz="4" w:space="0" w:color="auto"/>
              <w:right w:val="double" w:sz="4" w:space="0" w:color="auto"/>
            </w:tcBorders>
            <w:shd w:val="clear" w:color="auto" w:fill="D5DCE4" w:themeFill="text2" w:themeFillTint="33"/>
            <w:vAlign w:val="center"/>
            <w:hideMark/>
          </w:tcPr>
          <w:p w14:paraId="0F956085" w14:textId="77777777" w:rsidR="002D5614" w:rsidRDefault="002D5614" w:rsidP="00205A7E">
            <w:pPr>
              <w:keepNext/>
              <w:keepLines/>
              <w:spacing w:after="0"/>
              <w:jc w:val="center"/>
              <w:rPr>
                <w:rFonts w:cs="Arial"/>
              </w:rPr>
            </w:pPr>
            <w:r>
              <w:rPr>
                <w:color w:val="000000"/>
                <w:sz w:val="18"/>
                <w:szCs w:val="18"/>
              </w:rPr>
              <w:t>RBG size</w:t>
            </w:r>
          </w:p>
        </w:tc>
        <w:tc>
          <w:tcPr>
            <w:tcW w:w="1843" w:type="dxa"/>
            <w:gridSpan w:val="2"/>
            <w:tcBorders>
              <w:top w:val="double" w:sz="4" w:space="0" w:color="auto"/>
              <w:left w:val="double" w:sz="4" w:space="0" w:color="auto"/>
              <w:bottom w:val="single" w:sz="4" w:space="0" w:color="auto"/>
              <w:right w:val="double" w:sz="4" w:space="0" w:color="auto"/>
            </w:tcBorders>
            <w:shd w:val="clear" w:color="auto" w:fill="D5DCE4" w:themeFill="text2" w:themeFillTint="33"/>
            <w:vAlign w:val="center"/>
            <w:hideMark/>
          </w:tcPr>
          <w:p w14:paraId="70A49472" w14:textId="77777777" w:rsidR="002D5614" w:rsidRDefault="002D5614" w:rsidP="00205A7E">
            <w:pPr>
              <w:keepNext/>
              <w:keepLines/>
              <w:spacing w:after="0"/>
              <w:jc w:val="center"/>
              <w:rPr>
                <w:rFonts w:cs="Arial"/>
              </w:rPr>
            </w:pPr>
            <w:r>
              <w:rPr>
                <w:color w:val="000000"/>
                <w:sz w:val="18"/>
                <w:szCs w:val="18"/>
              </w:rPr>
              <w:t>#RBGs per NB</w:t>
            </w:r>
          </w:p>
        </w:tc>
        <w:tc>
          <w:tcPr>
            <w:tcW w:w="1842" w:type="dxa"/>
            <w:gridSpan w:val="2"/>
            <w:tcBorders>
              <w:top w:val="double" w:sz="4" w:space="0" w:color="auto"/>
              <w:left w:val="double" w:sz="4" w:space="0" w:color="auto"/>
              <w:bottom w:val="single" w:sz="4" w:space="0" w:color="auto"/>
              <w:right w:val="double" w:sz="4" w:space="0" w:color="auto"/>
            </w:tcBorders>
            <w:shd w:val="clear" w:color="auto" w:fill="D5DCE4" w:themeFill="text2" w:themeFillTint="33"/>
            <w:vAlign w:val="center"/>
            <w:hideMark/>
          </w:tcPr>
          <w:p w14:paraId="74DFDA37" w14:textId="77777777" w:rsidR="002D5614" w:rsidRDefault="002D5614" w:rsidP="00205A7E">
            <w:pPr>
              <w:keepNext/>
              <w:keepLines/>
              <w:spacing w:after="0"/>
              <w:jc w:val="center"/>
              <w:rPr>
                <w:color w:val="000000"/>
                <w:sz w:val="18"/>
                <w:szCs w:val="18"/>
              </w:rPr>
            </w:pPr>
            <w:r>
              <w:rPr>
                <w:color w:val="000000"/>
                <w:sz w:val="18"/>
                <w:szCs w:val="18"/>
              </w:rPr>
              <w:t># unused PRBs due to one NB</w:t>
            </w:r>
          </w:p>
        </w:tc>
        <w:tc>
          <w:tcPr>
            <w:tcW w:w="1880" w:type="dxa"/>
            <w:gridSpan w:val="2"/>
            <w:tcBorders>
              <w:top w:val="double" w:sz="4" w:space="0" w:color="auto"/>
              <w:left w:val="double" w:sz="4" w:space="0" w:color="auto"/>
              <w:bottom w:val="single" w:sz="4" w:space="0" w:color="auto"/>
              <w:right w:val="double" w:sz="4" w:space="0" w:color="auto"/>
            </w:tcBorders>
            <w:shd w:val="clear" w:color="auto" w:fill="D5DCE4" w:themeFill="text2" w:themeFillTint="33"/>
            <w:vAlign w:val="center"/>
            <w:hideMark/>
          </w:tcPr>
          <w:p w14:paraId="4AC3531C" w14:textId="77777777" w:rsidR="002D5614" w:rsidRDefault="002D5614" w:rsidP="00205A7E">
            <w:pPr>
              <w:keepNext/>
              <w:keepLines/>
              <w:spacing w:after="0"/>
              <w:jc w:val="center"/>
              <w:rPr>
                <w:rFonts w:cs="Arial"/>
              </w:rPr>
            </w:pPr>
            <w:r>
              <w:rPr>
                <w:color w:val="000000"/>
                <w:sz w:val="18"/>
                <w:szCs w:val="18"/>
              </w:rPr>
              <w:t>Effect of unused PRB</w:t>
            </w:r>
          </w:p>
        </w:tc>
        <w:tc>
          <w:tcPr>
            <w:tcW w:w="1932" w:type="dxa"/>
            <w:gridSpan w:val="2"/>
            <w:tcBorders>
              <w:top w:val="double" w:sz="4" w:space="0" w:color="auto"/>
              <w:left w:val="double" w:sz="4" w:space="0" w:color="auto"/>
              <w:bottom w:val="single" w:sz="4" w:space="0" w:color="auto"/>
              <w:right w:val="double" w:sz="4" w:space="0" w:color="auto"/>
            </w:tcBorders>
            <w:shd w:val="clear" w:color="auto" w:fill="D5DCE4" w:themeFill="text2" w:themeFillTint="33"/>
            <w:vAlign w:val="center"/>
            <w:hideMark/>
          </w:tcPr>
          <w:p w14:paraId="42583F00" w14:textId="77777777" w:rsidR="002D5614" w:rsidRDefault="002D5614" w:rsidP="00205A7E">
            <w:pPr>
              <w:keepNext/>
              <w:keepLines/>
              <w:spacing w:after="0"/>
              <w:jc w:val="center"/>
              <w:rPr>
                <w:rFonts w:cs="Arial"/>
                <w:sz w:val="18"/>
                <w:szCs w:val="18"/>
              </w:rPr>
            </w:pPr>
            <w:r>
              <w:rPr>
                <w:rFonts w:cs="Arial"/>
                <w:sz w:val="18"/>
                <w:szCs w:val="18"/>
              </w:rPr>
              <w:t>Description of NB set</w:t>
            </w:r>
          </w:p>
        </w:tc>
      </w:tr>
      <w:tr w:rsidR="002D5614" w14:paraId="34938AE7" w14:textId="77777777" w:rsidTr="00205A7E">
        <w:tc>
          <w:tcPr>
            <w:tcW w:w="0" w:type="auto"/>
            <w:vMerge/>
            <w:tcBorders>
              <w:top w:val="single" w:sz="4" w:space="0" w:color="auto"/>
              <w:left w:val="double" w:sz="4" w:space="0" w:color="auto"/>
              <w:bottom w:val="single" w:sz="4" w:space="0" w:color="auto"/>
              <w:right w:val="single" w:sz="4" w:space="0" w:color="auto"/>
            </w:tcBorders>
            <w:vAlign w:val="center"/>
            <w:hideMark/>
          </w:tcPr>
          <w:p w14:paraId="14FCFFBD" w14:textId="77777777" w:rsidR="002D5614" w:rsidRDefault="002D5614" w:rsidP="00205A7E">
            <w:pPr>
              <w:keepNext/>
              <w:keepLines/>
              <w:spacing w:after="0" w:line="240" w:lineRule="auto"/>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BB31A" w14:textId="77777777" w:rsidR="002D5614" w:rsidRDefault="002D5614" w:rsidP="00205A7E">
            <w:pPr>
              <w:keepNext/>
              <w:keepLines/>
              <w:spacing w:after="0" w:line="240" w:lineRule="auto"/>
              <w:rPr>
                <w:rFonts w:cs="Arial"/>
              </w:rPr>
            </w:pPr>
          </w:p>
        </w:tc>
        <w:tc>
          <w:tcPr>
            <w:tcW w:w="0" w:type="auto"/>
            <w:vMerge/>
            <w:tcBorders>
              <w:top w:val="single" w:sz="4" w:space="0" w:color="auto"/>
              <w:left w:val="single" w:sz="4" w:space="0" w:color="auto"/>
              <w:bottom w:val="single" w:sz="4" w:space="0" w:color="auto"/>
              <w:right w:val="double" w:sz="4" w:space="0" w:color="auto"/>
            </w:tcBorders>
            <w:vAlign w:val="center"/>
            <w:hideMark/>
          </w:tcPr>
          <w:p w14:paraId="1542C430" w14:textId="77777777" w:rsidR="002D5614" w:rsidRDefault="002D5614" w:rsidP="00205A7E">
            <w:pPr>
              <w:keepNext/>
              <w:keepLines/>
              <w:spacing w:after="0" w:line="240" w:lineRule="auto"/>
              <w:rPr>
                <w:rFonts w:cs="Arial"/>
              </w:rPr>
            </w:pPr>
          </w:p>
        </w:tc>
        <w:tc>
          <w:tcPr>
            <w:tcW w:w="920" w:type="dxa"/>
            <w:tcBorders>
              <w:top w:val="single" w:sz="4" w:space="0" w:color="auto"/>
              <w:left w:val="double" w:sz="4" w:space="0" w:color="auto"/>
              <w:bottom w:val="single" w:sz="4" w:space="0" w:color="auto"/>
              <w:right w:val="single" w:sz="4" w:space="0" w:color="auto"/>
            </w:tcBorders>
            <w:shd w:val="clear" w:color="auto" w:fill="D5DCE4" w:themeFill="text2" w:themeFillTint="33"/>
            <w:vAlign w:val="center"/>
            <w:hideMark/>
          </w:tcPr>
          <w:p w14:paraId="3D6D33D0" w14:textId="77777777" w:rsidR="002D5614" w:rsidRDefault="002D5614" w:rsidP="00205A7E">
            <w:pPr>
              <w:keepNext/>
              <w:keepLines/>
              <w:spacing w:after="0"/>
              <w:jc w:val="center"/>
              <w:rPr>
                <w:rFonts w:cs="Arial"/>
              </w:rPr>
            </w:pPr>
            <w:r>
              <w:rPr>
                <w:color w:val="000000"/>
                <w:sz w:val="18"/>
                <w:szCs w:val="18"/>
              </w:rPr>
              <w:t>Set #1</w:t>
            </w:r>
          </w:p>
        </w:tc>
        <w:tc>
          <w:tcPr>
            <w:tcW w:w="923" w:type="dxa"/>
            <w:tcBorders>
              <w:top w:val="single" w:sz="4" w:space="0" w:color="auto"/>
              <w:left w:val="single" w:sz="4" w:space="0" w:color="auto"/>
              <w:bottom w:val="single" w:sz="4" w:space="0" w:color="auto"/>
              <w:right w:val="double" w:sz="4" w:space="0" w:color="auto"/>
            </w:tcBorders>
            <w:shd w:val="clear" w:color="auto" w:fill="D5DCE4" w:themeFill="text2" w:themeFillTint="33"/>
            <w:vAlign w:val="center"/>
            <w:hideMark/>
          </w:tcPr>
          <w:p w14:paraId="21698C41" w14:textId="77777777" w:rsidR="002D5614" w:rsidRDefault="002D5614" w:rsidP="00205A7E">
            <w:pPr>
              <w:keepNext/>
              <w:keepLines/>
              <w:spacing w:after="0"/>
              <w:jc w:val="center"/>
              <w:rPr>
                <w:rFonts w:cs="Arial"/>
              </w:rPr>
            </w:pPr>
            <w:r>
              <w:rPr>
                <w:color w:val="000000"/>
                <w:sz w:val="18"/>
                <w:szCs w:val="18"/>
              </w:rPr>
              <w:t>Set #2</w:t>
            </w:r>
          </w:p>
        </w:tc>
        <w:tc>
          <w:tcPr>
            <w:tcW w:w="920" w:type="dxa"/>
            <w:tcBorders>
              <w:top w:val="single" w:sz="4" w:space="0" w:color="auto"/>
              <w:left w:val="double" w:sz="4" w:space="0" w:color="auto"/>
              <w:bottom w:val="single" w:sz="4" w:space="0" w:color="auto"/>
              <w:right w:val="single" w:sz="4" w:space="0" w:color="auto"/>
            </w:tcBorders>
            <w:shd w:val="clear" w:color="auto" w:fill="D5DCE4" w:themeFill="text2" w:themeFillTint="33"/>
            <w:vAlign w:val="center"/>
            <w:hideMark/>
          </w:tcPr>
          <w:p w14:paraId="69365D59" w14:textId="77777777" w:rsidR="002D5614" w:rsidRDefault="002D5614" w:rsidP="00205A7E">
            <w:pPr>
              <w:keepNext/>
              <w:keepLines/>
              <w:spacing w:after="0"/>
              <w:jc w:val="center"/>
              <w:rPr>
                <w:rFonts w:cs="Arial"/>
              </w:rPr>
            </w:pPr>
            <w:r>
              <w:rPr>
                <w:color w:val="000000"/>
                <w:sz w:val="18"/>
                <w:szCs w:val="18"/>
              </w:rPr>
              <w:t>Set #1</w:t>
            </w:r>
          </w:p>
        </w:tc>
        <w:tc>
          <w:tcPr>
            <w:tcW w:w="922" w:type="dxa"/>
            <w:tcBorders>
              <w:top w:val="single" w:sz="4" w:space="0" w:color="auto"/>
              <w:left w:val="single" w:sz="4" w:space="0" w:color="auto"/>
              <w:bottom w:val="single" w:sz="4" w:space="0" w:color="auto"/>
              <w:right w:val="double" w:sz="4" w:space="0" w:color="auto"/>
            </w:tcBorders>
            <w:shd w:val="clear" w:color="auto" w:fill="D5DCE4" w:themeFill="text2" w:themeFillTint="33"/>
            <w:vAlign w:val="center"/>
            <w:hideMark/>
          </w:tcPr>
          <w:p w14:paraId="65A800F6" w14:textId="77777777" w:rsidR="002D5614" w:rsidRDefault="002D5614" w:rsidP="00205A7E">
            <w:pPr>
              <w:keepNext/>
              <w:keepLines/>
              <w:spacing w:after="0"/>
              <w:jc w:val="center"/>
              <w:rPr>
                <w:rFonts w:cs="Arial"/>
              </w:rPr>
            </w:pPr>
            <w:r>
              <w:rPr>
                <w:color w:val="000000"/>
                <w:sz w:val="18"/>
                <w:szCs w:val="18"/>
              </w:rPr>
              <w:t>Set #2</w:t>
            </w:r>
          </w:p>
        </w:tc>
        <w:tc>
          <w:tcPr>
            <w:tcW w:w="940" w:type="dxa"/>
            <w:tcBorders>
              <w:top w:val="single" w:sz="4" w:space="0" w:color="auto"/>
              <w:left w:val="double" w:sz="4" w:space="0" w:color="auto"/>
              <w:bottom w:val="single" w:sz="4" w:space="0" w:color="auto"/>
              <w:right w:val="single" w:sz="4" w:space="0" w:color="auto"/>
            </w:tcBorders>
            <w:shd w:val="clear" w:color="auto" w:fill="D5DCE4" w:themeFill="text2" w:themeFillTint="33"/>
            <w:vAlign w:val="center"/>
            <w:hideMark/>
          </w:tcPr>
          <w:p w14:paraId="7939D134" w14:textId="77777777" w:rsidR="002D5614" w:rsidRDefault="002D5614" w:rsidP="00205A7E">
            <w:pPr>
              <w:keepNext/>
              <w:keepLines/>
              <w:spacing w:after="0"/>
              <w:jc w:val="center"/>
              <w:rPr>
                <w:rFonts w:cs="Arial"/>
              </w:rPr>
            </w:pPr>
            <w:r>
              <w:rPr>
                <w:color w:val="000000"/>
                <w:sz w:val="18"/>
                <w:szCs w:val="18"/>
              </w:rPr>
              <w:t>Set #1</w:t>
            </w:r>
          </w:p>
        </w:tc>
        <w:tc>
          <w:tcPr>
            <w:tcW w:w="940" w:type="dxa"/>
            <w:tcBorders>
              <w:top w:val="single" w:sz="4" w:space="0" w:color="auto"/>
              <w:left w:val="single" w:sz="4" w:space="0" w:color="auto"/>
              <w:bottom w:val="single" w:sz="4" w:space="0" w:color="auto"/>
              <w:right w:val="double" w:sz="4" w:space="0" w:color="auto"/>
            </w:tcBorders>
            <w:shd w:val="clear" w:color="auto" w:fill="D5DCE4" w:themeFill="text2" w:themeFillTint="33"/>
            <w:vAlign w:val="center"/>
            <w:hideMark/>
          </w:tcPr>
          <w:p w14:paraId="3A1BB10D" w14:textId="77777777" w:rsidR="002D5614" w:rsidRDefault="002D5614" w:rsidP="00205A7E">
            <w:pPr>
              <w:keepNext/>
              <w:keepLines/>
              <w:spacing w:after="0"/>
              <w:jc w:val="center"/>
              <w:rPr>
                <w:rFonts w:cs="Arial"/>
              </w:rPr>
            </w:pPr>
            <w:r>
              <w:rPr>
                <w:color w:val="000000"/>
                <w:sz w:val="18"/>
                <w:szCs w:val="18"/>
              </w:rPr>
              <w:t>Set #2</w:t>
            </w:r>
          </w:p>
        </w:tc>
        <w:tc>
          <w:tcPr>
            <w:tcW w:w="966" w:type="dxa"/>
            <w:tcBorders>
              <w:top w:val="single" w:sz="4" w:space="0" w:color="auto"/>
              <w:left w:val="double" w:sz="4" w:space="0" w:color="auto"/>
              <w:bottom w:val="single" w:sz="4" w:space="0" w:color="auto"/>
              <w:right w:val="single" w:sz="4" w:space="0" w:color="auto"/>
            </w:tcBorders>
            <w:shd w:val="clear" w:color="auto" w:fill="D5DCE4" w:themeFill="text2" w:themeFillTint="33"/>
            <w:vAlign w:val="center"/>
            <w:hideMark/>
          </w:tcPr>
          <w:p w14:paraId="53640E9F" w14:textId="77777777" w:rsidR="002D5614" w:rsidRDefault="002D5614" w:rsidP="00205A7E">
            <w:pPr>
              <w:keepNext/>
              <w:keepLines/>
              <w:spacing w:after="0"/>
              <w:jc w:val="center"/>
              <w:rPr>
                <w:rFonts w:cs="Arial"/>
              </w:rPr>
            </w:pPr>
            <w:r>
              <w:rPr>
                <w:color w:val="000000"/>
                <w:sz w:val="18"/>
                <w:szCs w:val="18"/>
              </w:rPr>
              <w:t>Set #1</w:t>
            </w:r>
          </w:p>
        </w:tc>
        <w:tc>
          <w:tcPr>
            <w:tcW w:w="966" w:type="dxa"/>
            <w:tcBorders>
              <w:top w:val="single" w:sz="4" w:space="0" w:color="auto"/>
              <w:left w:val="single" w:sz="4" w:space="0" w:color="auto"/>
              <w:bottom w:val="single" w:sz="4" w:space="0" w:color="auto"/>
              <w:right w:val="double" w:sz="4" w:space="0" w:color="auto"/>
            </w:tcBorders>
            <w:shd w:val="clear" w:color="auto" w:fill="D5DCE4" w:themeFill="text2" w:themeFillTint="33"/>
            <w:vAlign w:val="center"/>
            <w:hideMark/>
          </w:tcPr>
          <w:p w14:paraId="4091CDDE" w14:textId="77777777" w:rsidR="002D5614" w:rsidRDefault="002D5614" w:rsidP="00205A7E">
            <w:pPr>
              <w:keepNext/>
              <w:keepLines/>
              <w:spacing w:after="0"/>
              <w:jc w:val="center"/>
              <w:rPr>
                <w:rFonts w:cs="Arial"/>
              </w:rPr>
            </w:pPr>
            <w:r>
              <w:rPr>
                <w:color w:val="000000"/>
                <w:sz w:val="18"/>
                <w:szCs w:val="18"/>
              </w:rPr>
              <w:t>Set #2</w:t>
            </w:r>
          </w:p>
        </w:tc>
      </w:tr>
      <w:tr w:rsidR="002D5614" w14:paraId="33B987C9" w14:textId="77777777" w:rsidTr="00205A7E">
        <w:tc>
          <w:tcPr>
            <w:tcW w:w="819" w:type="dxa"/>
            <w:tcBorders>
              <w:top w:val="single" w:sz="4" w:space="0" w:color="auto"/>
              <w:left w:val="double" w:sz="4" w:space="0" w:color="auto"/>
              <w:bottom w:val="single" w:sz="4" w:space="0" w:color="auto"/>
              <w:right w:val="single" w:sz="4" w:space="0" w:color="auto"/>
            </w:tcBorders>
            <w:vAlign w:val="center"/>
            <w:hideMark/>
          </w:tcPr>
          <w:p w14:paraId="1B447DD0" w14:textId="77777777" w:rsidR="002D5614" w:rsidRDefault="002D5614" w:rsidP="00205A7E">
            <w:pPr>
              <w:keepNext/>
              <w:keepLines/>
              <w:spacing w:after="0"/>
              <w:jc w:val="center"/>
              <w:rPr>
                <w:rFonts w:cs="Arial"/>
              </w:rPr>
            </w:pPr>
            <w:r>
              <w:rPr>
                <w:color w:val="000000"/>
                <w:sz w:val="18"/>
                <w:szCs w:val="18"/>
              </w:rPr>
              <w:t>1.4</w:t>
            </w:r>
          </w:p>
        </w:tc>
        <w:tc>
          <w:tcPr>
            <w:tcW w:w="866" w:type="dxa"/>
            <w:tcBorders>
              <w:top w:val="single" w:sz="4" w:space="0" w:color="auto"/>
              <w:left w:val="single" w:sz="4" w:space="0" w:color="auto"/>
              <w:bottom w:val="single" w:sz="4" w:space="0" w:color="auto"/>
              <w:right w:val="single" w:sz="4" w:space="0" w:color="auto"/>
            </w:tcBorders>
            <w:vAlign w:val="center"/>
            <w:hideMark/>
          </w:tcPr>
          <w:p w14:paraId="2D9B4963" w14:textId="77777777" w:rsidR="002D5614" w:rsidRDefault="002D5614" w:rsidP="00205A7E">
            <w:pPr>
              <w:keepNext/>
              <w:keepLines/>
              <w:spacing w:after="0"/>
              <w:jc w:val="center"/>
              <w:rPr>
                <w:rFonts w:cs="Arial"/>
              </w:rPr>
            </w:pPr>
            <w:r>
              <w:rPr>
                <w:color w:val="000000"/>
                <w:sz w:val="18"/>
                <w:szCs w:val="18"/>
              </w:rPr>
              <w:t>6</w:t>
            </w:r>
          </w:p>
        </w:tc>
        <w:tc>
          <w:tcPr>
            <w:tcW w:w="683" w:type="dxa"/>
            <w:tcBorders>
              <w:top w:val="single" w:sz="4" w:space="0" w:color="auto"/>
              <w:left w:val="single" w:sz="4" w:space="0" w:color="auto"/>
              <w:bottom w:val="single" w:sz="4" w:space="0" w:color="auto"/>
              <w:right w:val="double" w:sz="4" w:space="0" w:color="auto"/>
            </w:tcBorders>
            <w:vAlign w:val="center"/>
            <w:hideMark/>
          </w:tcPr>
          <w:p w14:paraId="395B36FA" w14:textId="77777777" w:rsidR="002D5614" w:rsidRDefault="002D5614" w:rsidP="00205A7E">
            <w:pPr>
              <w:keepNext/>
              <w:keepLines/>
              <w:spacing w:after="0"/>
              <w:jc w:val="center"/>
              <w:rPr>
                <w:rFonts w:cs="Arial"/>
              </w:rPr>
            </w:pPr>
            <w:r>
              <w:rPr>
                <w:color w:val="000000"/>
                <w:sz w:val="18"/>
                <w:szCs w:val="18"/>
              </w:rPr>
              <w:t>1</w:t>
            </w:r>
          </w:p>
        </w:tc>
        <w:tc>
          <w:tcPr>
            <w:tcW w:w="1843" w:type="dxa"/>
            <w:gridSpan w:val="2"/>
            <w:tcBorders>
              <w:top w:val="single" w:sz="4" w:space="0" w:color="auto"/>
              <w:left w:val="double" w:sz="4" w:space="0" w:color="auto"/>
              <w:bottom w:val="single" w:sz="4" w:space="0" w:color="auto"/>
              <w:right w:val="double" w:sz="4" w:space="0" w:color="auto"/>
            </w:tcBorders>
            <w:vAlign w:val="center"/>
            <w:hideMark/>
          </w:tcPr>
          <w:p w14:paraId="7B58F0C1" w14:textId="77777777" w:rsidR="002D5614" w:rsidRDefault="002D5614" w:rsidP="00205A7E">
            <w:pPr>
              <w:keepNext/>
              <w:keepLines/>
              <w:spacing w:after="0"/>
              <w:jc w:val="center"/>
              <w:rPr>
                <w:rFonts w:cs="Arial"/>
              </w:rPr>
            </w:pPr>
            <w:r>
              <w:rPr>
                <w:color w:val="000000"/>
                <w:sz w:val="18"/>
                <w:szCs w:val="18"/>
              </w:rPr>
              <w:t>6</w:t>
            </w:r>
          </w:p>
        </w:tc>
        <w:tc>
          <w:tcPr>
            <w:tcW w:w="1842" w:type="dxa"/>
            <w:gridSpan w:val="2"/>
            <w:tcBorders>
              <w:top w:val="single" w:sz="4" w:space="0" w:color="auto"/>
              <w:left w:val="double" w:sz="4" w:space="0" w:color="auto"/>
              <w:bottom w:val="single" w:sz="4" w:space="0" w:color="auto"/>
              <w:right w:val="double" w:sz="4" w:space="0" w:color="auto"/>
            </w:tcBorders>
            <w:vAlign w:val="center"/>
            <w:hideMark/>
          </w:tcPr>
          <w:p w14:paraId="1E191773" w14:textId="77777777" w:rsidR="002D5614" w:rsidRPr="009869B9" w:rsidRDefault="002D5614" w:rsidP="00205A7E">
            <w:pPr>
              <w:keepNext/>
              <w:keepLines/>
              <w:spacing w:after="0"/>
              <w:jc w:val="center"/>
              <w:rPr>
                <w:rFonts w:cs="Arial"/>
              </w:rPr>
            </w:pPr>
            <w:r>
              <w:rPr>
                <w:color w:val="000000"/>
                <w:sz w:val="18"/>
                <w:szCs w:val="18"/>
              </w:rPr>
              <w:t>0</w:t>
            </w:r>
          </w:p>
        </w:tc>
        <w:tc>
          <w:tcPr>
            <w:tcW w:w="1880" w:type="dxa"/>
            <w:gridSpan w:val="2"/>
            <w:tcBorders>
              <w:top w:val="single" w:sz="4" w:space="0" w:color="auto"/>
              <w:left w:val="double" w:sz="4" w:space="0" w:color="auto"/>
              <w:bottom w:val="single" w:sz="4" w:space="0" w:color="auto"/>
              <w:right w:val="double" w:sz="4" w:space="0" w:color="auto"/>
            </w:tcBorders>
            <w:shd w:val="clear" w:color="auto" w:fill="E2EFD9" w:themeFill="accent6" w:themeFillTint="33"/>
            <w:vAlign w:val="center"/>
            <w:hideMark/>
          </w:tcPr>
          <w:p w14:paraId="43A549A7" w14:textId="77777777" w:rsidR="002D5614" w:rsidRDefault="002D5614" w:rsidP="00205A7E">
            <w:pPr>
              <w:keepNext/>
              <w:keepLines/>
              <w:spacing w:after="0"/>
              <w:jc w:val="center"/>
              <w:rPr>
                <w:rFonts w:cs="Arial"/>
                <w:sz w:val="18"/>
                <w:szCs w:val="18"/>
              </w:rPr>
            </w:pPr>
            <w:r>
              <w:rPr>
                <w:rFonts w:cs="Arial"/>
                <w:sz w:val="18"/>
                <w:szCs w:val="18"/>
              </w:rPr>
              <w:t>0%</w:t>
            </w:r>
          </w:p>
        </w:tc>
        <w:tc>
          <w:tcPr>
            <w:tcW w:w="1932" w:type="dxa"/>
            <w:gridSpan w:val="2"/>
            <w:tcBorders>
              <w:top w:val="single" w:sz="4" w:space="0" w:color="auto"/>
              <w:left w:val="double" w:sz="4" w:space="0" w:color="auto"/>
              <w:bottom w:val="single" w:sz="4" w:space="0" w:color="auto"/>
              <w:right w:val="double" w:sz="4" w:space="0" w:color="auto"/>
            </w:tcBorders>
            <w:vAlign w:val="center"/>
            <w:hideMark/>
          </w:tcPr>
          <w:p w14:paraId="37077252" w14:textId="77777777" w:rsidR="002D5614" w:rsidRPr="004D29C6" w:rsidRDefault="002D5614" w:rsidP="00205A7E">
            <w:pPr>
              <w:keepNext/>
              <w:keepLines/>
              <w:spacing w:after="0"/>
              <w:jc w:val="center"/>
              <w:rPr>
                <w:rFonts w:cs="Arial"/>
                <w:sz w:val="18"/>
                <w:szCs w:val="18"/>
              </w:rPr>
            </w:pPr>
            <w:r>
              <w:rPr>
                <w:rFonts w:cs="Arial"/>
                <w:sz w:val="18"/>
                <w:szCs w:val="18"/>
              </w:rPr>
              <w:t>N/A</w:t>
            </w:r>
          </w:p>
        </w:tc>
      </w:tr>
      <w:tr w:rsidR="002D5614" w14:paraId="2FFC11C2" w14:textId="77777777" w:rsidTr="00205A7E">
        <w:tc>
          <w:tcPr>
            <w:tcW w:w="819" w:type="dxa"/>
            <w:tcBorders>
              <w:top w:val="single" w:sz="4" w:space="0" w:color="auto"/>
              <w:left w:val="double" w:sz="4" w:space="0" w:color="auto"/>
              <w:bottom w:val="single" w:sz="4" w:space="0" w:color="auto"/>
              <w:right w:val="single" w:sz="4" w:space="0" w:color="auto"/>
            </w:tcBorders>
            <w:vAlign w:val="center"/>
            <w:hideMark/>
          </w:tcPr>
          <w:p w14:paraId="6F9AF53F" w14:textId="77777777" w:rsidR="002D5614" w:rsidRDefault="002D5614" w:rsidP="00205A7E">
            <w:pPr>
              <w:keepNext/>
              <w:keepLines/>
              <w:spacing w:after="0"/>
              <w:jc w:val="center"/>
              <w:rPr>
                <w:rFonts w:cs="Arial"/>
              </w:rPr>
            </w:pPr>
            <w:r>
              <w:rPr>
                <w:color w:val="000000"/>
                <w:sz w:val="18"/>
                <w:szCs w:val="18"/>
              </w:rPr>
              <w:t>3</w:t>
            </w:r>
          </w:p>
        </w:tc>
        <w:tc>
          <w:tcPr>
            <w:tcW w:w="866" w:type="dxa"/>
            <w:tcBorders>
              <w:top w:val="single" w:sz="4" w:space="0" w:color="auto"/>
              <w:left w:val="single" w:sz="4" w:space="0" w:color="auto"/>
              <w:bottom w:val="single" w:sz="4" w:space="0" w:color="auto"/>
              <w:right w:val="single" w:sz="4" w:space="0" w:color="auto"/>
            </w:tcBorders>
            <w:vAlign w:val="center"/>
            <w:hideMark/>
          </w:tcPr>
          <w:p w14:paraId="26BF59D0" w14:textId="77777777" w:rsidR="002D5614" w:rsidRDefault="002D5614" w:rsidP="00205A7E">
            <w:pPr>
              <w:keepNext/>
              <w:keepLines/>
              <w:spacing w:after="0"/>
              <w:jc w:val="center"/>
              <w:rPr>
                <w:rFonts w:cs="Arial"/>
              </w:rPr>
            </w:pPr>
            <w:r>
              <w:rPr>
                <w:color w:val="000000"/>
                <w:sz w:val="18"/>
                <w:szCs w:val="18"/>
              </w:rPr>
              <w:t>15</w:t>
            </w:r>
          </w:p>
        </w:tc>
        <w:tc>
          <w:tcPr>
            <w:tcW w:w="683" w:type="dxa"/>
            <w:tcBorders>
              <w:top w:val="single" w:sz="4" w:space="0" w:color="auto"/>
              <w:left w:val="single" w:sz="4" w:space="0" w:color="auto"/>
              <w:bottom w:val="single" w:sz="4" w:space="0" w:color="auto"/>
              <w:right w:val="double" w:sz="4" w:space="0" w:color="auto"/>
            </w:tcBorders>
            <w:vAlign w:val="center"/>
            <w:hideMark/>
          </w:tcPr>
          <w:p w14:paraId="15E55802" w14:textId="77777777" w:rsidR="002D5614" w:rsidRDefault="002D5614" w:rsidP="00205A7E">
            <w:pPr>
              <w:keepNext/>
              <w:keepLines/>
              <w:spacing w:after="0"/>
              <w:jc w:val="center"/>
              <w:rPr>
                <w:rFonts w:cs="Arial"/>
              </w:rPr>
            </w:pPr>
            <w:r>
              <w:rPr>
                <w:color w:val="000000"/>
                <w:sz w:val="18"/>
                <w:szCs w:val="18"/>
              </w:rPr>
              <w:t>2</w:t>
            </w:r>
          </w:p>
        </w:tc>
        <w:tc>
          <w:tcPr>
            <w:tcW w:w="920" w:type="dxa"/>
            <w:tcBorders>
              <w:top w:val="single" w:sz="4" w:space="0" w:color="auto"/>
              <w:left w:val="double" w:sz="4" w:space="0" w:color="auto"/>
              <w:bottom w:val="single" w:sz="4" w:space="0" w:color="auto"/>
              <w:right w:val="single" w:sz="4" w:space="0" w:color="auto"/>
            </w:tcBorders>
            <w:vAlign w:val="center"/>
            <w:hideMark/>
          </w:tcPr>
          <w:p w14:paraId="1A6DF73B" w14:textId="77777777" w:rsidR="002D5614" w:rsidRDefault="002D5614" w:rsidP="00205A7E">
            <w:pPr>
              <w:keepNext/>
              <w:keepLines/>
              <w:spacing w:after="0"/>
              <w:jc w:val="center"/>
              <w:rPr>
                <w:rFonts w:cs="Arial"/>
              </w:rPr>
            </w:pPr>
            <w:r>
              <w:rPr>
                <w:color w:val="000000"/>
                <w:sz w:val="18"/>
                <w:szCs w:val="18"/>
              </w:rPr>
              <w:t>4</w:t>
            </w:r>
          </w:p>
        </w:tc>
        <w:tc>
          <w:tcPr>
            <w:tcW w:w="923" w:type="dxa"/>
            <w:tcBorders>
              <w:top w:val="single" w:sz="4" w:space="0" w:color="auto"/>
              <w:left w:val="single" w:sz="4" w:space="0" w:color="auto"/>
              <w:bottom w:val="single" w:sz="4" w:space="0" w:color="auto"/>
              <w:right w:val="double" w:sz="4" w:space="0" w:color="auto"/>
            </w:tcBorders>
            <w:vAlign w:val="center"/>
            <w:hideMark/>
          </w:tcPr>
          <w:p w14:paraId="07B2563F" w14:textId="77777777" w:rsidR="002D5614" w:rsidRDefault="002D5614" w:rsidP="00205A7E">
            <w:pPr>
              <w:keepNext/>
              <w:keepLines/>
              <w:spacing w:after="0"/>
              <w:jc w:val="center"/>
              <w:rPr>
                <w:rFonts w:cs="Arial"/>
              </w:rPr>
            </w:pPr>
            <w:r>
              <w:rPr>
                <w:color w:val="000000"/>
                <w:sz w:val="18"/>
                <w:szCs w:val="18"/>
              </w:rPr>
              <w:t>3</w:t>
            </w:r>
          </w:p>
        </w:tc>
        <w:tc>
          <w:tcPr>
            <w:tcW w:w="920" w:type="dxa"/>
            <w:tcBorders>
              <w:top w:val="single" w:sz="4" w:space="0" w:color="auto"/>
              <w:left w:val="double" w:sz="4" w:space="0" w:color="auto"/>
              <w:bottom w:val="single" w:sz="4" w:space="0" w:color="auto"/>
              <w:right w:val="single" w:sz="4" w:space="0" w:color="auto"/>
            </w:tcBorders>
            <w:vAlign w:val="center"/>
            <w:hideMark/>
          </w:tcPr>
          <w:p w14:paraId="5FA3711F" w14:textId="77777777" w:rsidR="002D5614" w:rsidRDefault="002D5614" w:rsidP="00205A7E">
            <w:pPr>
              <w:keepNext/>
              <w:keepLines/>
              <w:spacing w:after="0"/>
              <w:jc w:val="center"/>
              <w:rPr>
                <w:rFonts w:cs="Arial"/>
              </w:rPr>
            </w:pPr>
            <w:r>
              <w:rPr>
                <w:color w:val="000000"/>
                <w:sz w:val="18"/>
                <w:szCs w:val="18"/>
              </w:rPr>
              <w:t>2</w:t>
            </w:r>
          </w:p>
        </w:tc>
        <w:tc>
          <w:tcPr>
            <w:tcW w:w="922" w:type="dxa"/>
            <w:tcBorders>
              <w:top w:val="single" w:sz="4" w:space="0" w:color="auto"/>
              <w:left w:val="single" w:sz="4" w:space="0" w:color="auto"/>
              <w:bottom w:val="single" w:sz="4" w:space="0" w:color="auto"/>
              <w:right w:val="double" w:sz="4" w:space="0" w:color="auto"/>
            </w:tcBorders>
            <w:vAlign w:val="center"/>
            <w:hideMark/>
          </w:tcPr>
          <w:p w14:paraId="1C37A1FB" w14:textId="77777777" w:rsidR="002D5614" w:rsidRDefault="002D5614" w:rsidP="00205A7E">
            <w:pPr>
              <w:keepNext/>
              <w:keepLines/>
              <w:spacing w:after="0"/>
              <w:jc w:val="center"/>
              <w:rPr>
                <w:rFonts w:cs="Arial"/>
              </w:rPr>
            </w:pPr>
            <w:r>
              <w:rPr>
                <w:color w:val="000000"/>
                <w:sz w:val="18"/>
                <w:szCs w:val="18"/>
              </w:rPr>
              <w:t>0</w:t>
            </w:r>
          </w:p>
        </w:tc>
        <w:tc>
          <w:tcPr>
            <w:tcW w:w="940" w:type="dxa"/>
            <w:tcBorders>
              <w:top w:val="single" w:sz="4" w:space="0" w:color="auto"/>
              <w:left w:val="double" w:sz="4" w:space="0" w:color="auto"/>
              <w:bottom w:val="single" w:sz="4" w:space="0" w:color="auto"/>
              <w:right w:val="single" w:sz="4" w:space="0" w:color="auto"/>
            </w:tcBorders>
            <w:shd w:val="clear" w:color="auto" w:fill="E2EFD9" w:themeFill="accent6" w:themeFillTint="33"/>
            <w:vAlign w:val="center"/>
            <w:hideMark/>
          </w:tcPr>
          <w:p w14:paraId="1D4DED5B" w14:textId="77777777" w:rsidR="002D5614" w:rsidRDefault="002D5614" w:rsidP="00205A7E">
            <w:pPr>
              <w:keepNext/>
              <w:keepLines/>
              <w:spacing w:after="0"/>
              <w:jc w:val="center"/>
              <w:rPr>
                <w:rFonts w:cs="Arial"/>
              </w:rPr>
            </w:pPr>
            <w:r>
              <w:rPr>
                <w:color w:val="000000"/>
                <w:sz w:val="18"/>
                <w:szCs w:val="18"/>
              </w:rPr>
              <w:t>33,3%</w:t>
            </w:r>
          </w:p>
        </w:tc>
        <w:tc>
          <w:tcPr>
            <w:tcW w:w="940" w:type="dxa"/>
            <w:tcBorders>
              <w:top w:val="single" w:sz="4" w:space="0" w:color="auto"/>
              <w:left w:val="single" w:sz="4" w:space="0" w:color="auto"/>
              <w:bottom w:val="single" w:sz="4" w:space="0" w:color="auto"/>
              <w:right w:val="double" w:sz="4" w:space="0" w:color="auto"/>
            </w:tcBorders>
            <w:shd w:val="clear" w:color="auto" w:fill="E2EFD9" w:themeFill="accent6" w:themeFillTint="33"/>
            <w:vAlign w:val="center"/>
            <w:hideMark/>
          </w:tcPr>
          <w:p w14:paraId="5197875C" w14:textId="77777777" w:rsidR="002D5614" w:rsidRDefault="002D5614" w:rsidP="00205A7E">
            <w:pPr>
              <w:keepNext/>
              <w:keepLines/>
              <w:spacing w:after="0"/>
              <w:jc w:val="center"/>
              <w:rPr>
                <w:rFonts w:cs="Arial"/>
              </w:rPr>
            </w:pPr>
            <w:r>
              <w:rPr>
                <w:color w:val="000000"/>
                <w:sz w:val="18"/>
                <w:szCs w:val="18"/>
              </w:rPr>
              <w:t>0%</w:t>
            </w:r>
          </w:p>
        </w:tc>
        <w:tc>
          <w:tcPr>
            <w:tcW w:w="966" w:type="dxa"/>
            <w:tcBorders>
              <w:top w:val="single" w:sz="4" w:space="0" w:color="auto"/>
              <w:left w:val="double" w:sz="4" w:space="0" w:color="auto"/>
              <w:bottom w:val="single" w:sz="4" w:space="0" w:color="auto"/>
              <w:right w:val="single" w:sz="4" w:space="0" w:color="auto"/>
            </w:tcBorders>
            <w:vAlign w:val="center"/>
            <w:hideMark/>
          </w:tcPr>
          <w:p w14:paraId="3D30C351" w14:textId="77777777" w:rsidR="002D5614" w:rsidRPr="004D29C6" w:rsidRDefault="002D5614" w:rsidP="00205A7E">
            <w:pPr>
              <w:keepNext/>
              <w:keepLines/>
              <w:spacing w:after="0"/>
              <w:jc w:val="center"/>
              <w:rPr>
                <w:rFonts w:cs="Arial"/>
                <w:sz w:val="18"/>
                <w:szCs w:val="18"/>
              </w:rPr>
            </w:pPr>
            <w:r w:rsidRPr="004D29C6">
              <w:rPr>
                <w:rFonts w:cs="Arial"/>
                <w:sz w:val="18"/>
                <w:szCs w:val="18"/>
              </w:rPr>
              <w:t>Low NB</w:t>
            </w:r>
          </w:p>
        </w:tc>
        <w:tc>
          <w:tcPr>
            <w:tcW w:w="966" w:type="dxa"/>
            <w:tcBorders>
              <w:top w:val="single" w:sz="4" w:space="0" w:color="auto"/>
              <w:left w:val="single" w:sz="4" w:space="0" w:color="auto"/>
              <w:bottom w:val="single" w:sz="4" w:space="0" w:color="auto"/>
              <w:right w:val="double" w:sz="4" w:space="0" w:color="auto"/>
            </w:tcBorders>
            <w:vAlign w:val="center"/>
            <w:hideMark/>
          </w:tcPr>
          <w:p w14:paraId="12C1CDAD" w14:textId="77777777" w:rsidR="002D5614" w:rsidRPr="004D29C6" w:rsidRDefault="002D5614" w:rsidP="00205A7E">
            <w:pPr>
              <w:keepNext/>
              <w:keepLines/>
              <w:spacing w:after="0"/>
              <w:jc w:val="center"/>
              <w:rPr>
                <w:rFonts w:cs="Arial"/>
                <w:sz w:val="18"/>
                <w:szCs w:val="18"/>
              </w:rPr>
            </w:pPr>
            <w:r w:rsidRPr="004D29C6">
              <w:rPr>
                <w:rFonts w:cs="Arial"/>
                <w:sz w:val="18"/>
                <w:szCs w:val="18"/>
              </w:rPr>
              <w:t>High NB</w:t>
            </w:r>
          </w:p>
        </w:tc>
      </w:tr>
      <w:tr w:rsidR="002D5614" w14:paraId="3E0B3DE4" w14:textId="77777777" w:rsidTr="00205A7E">
        <w:tc>
          <w:tcPr>
            <w:tcW w:w="819" w:type="dxa"/>
            <w:tcBorders>
              <w:top w:val="single" w:sz="4" w:space="0" w:color="auto"/>
              <w:left w:val="double" w:sz="4" w:space="0" w:color="auto"/>
              <w:bottom w:val="single" w:sz="4" w:space="0" w:color="auto"/>
              <w:right w:val="single" w:sz="4" w:space="0" w:color="auto"/>
            </w:tcBorders>
            <w:vAlign w:val="center"/>
            <w:hideMark/>
          </w:tcPr>
          <w:p w14:paraId="744203E2" w14:textId="77777777" w:rsidR="002D5614" w:rsidRDefault="002D5614" w:rsidP="00205A7E">
            <w:pPr>
              <w:keepNext/>
              <w:keepLines/>
              <w:spacing w:after="0"/>
              <w:jc w:val="center"/>
              <w:rPr>
                <w:rFonts w:cs="Arial"/>
              </w:rPr>
            </w:pPr>
            <w:r>
              <w:rPr>
                <w:color w:val="000000"/>
                <w:sz w:val="18"/>
                <w:szCs w:val="18"/>
              </w:rPr>
              <w:t>5</w:t>
            </w:r>
          </w:p>
        </w:tc>
        <w:tc>
          <w:tcPr>
            <w:tcW w:w="866" w:type="dxa"/>
            <w:tcBorders>
              <w:top w:val="single" w:sz="4" w:space="0" w:color="auto"/>
              <w:left w:val="single" w:sz="4" w:space="0" w:color="auto"/>
              <w:bottom w:val="single" w:sz="4" w:space="0" w:color="auto"/>
              <w:right w:val="single" w:sz="4" w:space="0" w:color="auto"/>
            </w:tcBorders>
            <w:vAlign w:val="center"/>
            <w:hideMark/>
          </w:tcPr>
          <w:p w14:paraId="239BEF16" w14:textId="77777777" w:rsidR="002D5614" w:rsidRDefault="002D5614" w:rsidP="00205A7E">
            <w:pPr>
              <w:keepNext/>
              <w:keepLines/>
              <w:spacing w:after="0"/>
              <w:jc w:val="center"/>
              <w:rPr>
                <w:rFonts w:cs="Arial"/>
              </w:rPr>
            </w:pPr>
            <w:r>
              <w:rPr>
                <w:color w:val="000000"/>
                <w:sz w:val="18"/>
                <w:szCs w:val="18"/>
              </w:rPr>
              <w:t>25</w:t>
            </w:r>
          </w:p>
        </w:tc>
        <w:tc>
          <w:tcPr>
            <w:tcW w:w="683" w:type="dxa"/>
            <w:tcBorders>
              <w:top w:val="single" w:sz="4" w:space="0" w:color="auto"/>
              <w:left w:val="single" w:sz="4" w:space="0" w:color="auto"/>
              <w:bottom w:val="single" w:sz="4" w:space="0" w:color="auto"/>
              <w:right w:val="double" w:sz="4" w:space="0" w:color="auto"/>
            </w:tcBorders>
            <w:vAlign w:val="center"/>
            <w:hideMark/>
          </w:tcPr>
          <w:p w14:paraId="302FEDBE" w14:textId="77777777" w:rsidR="002D5614" w:rsidRDefault="002D5614" w:rsidP="00205A7E">
            <w:pPr>
              <w:keepNext/>
              <w:keepLines/>
              <w:spacing w:after="0"/>
              <w:jc w:val="center"/>
              <w:rPr>
                <w:rFonts w:cs="Arial"/>
              </w:rPr>
            </w:pPr>
            <w:r>
              <w:rPr>
                <w:color w:val="000000"/>
                <w:sz w:val="18"/>
                <w:szCs w:val="18"/>
              </w:rPr>
              <w:t>2</w:t>
            </w:r>
          </w:p>
        </w:tc>
        <w:tc>
          <w:tcPr>
            <w:tcW w:w="920" w:type="dxa"/>
            <w:tcBorders>
              <w:top w:val="single" w:sz="4" w:space="0" w:color="auto"/>
              <w:left w:val="double" w:sz="4" w:space="0" w:color="auto"/>
              <w:bottom w:val="single" w:sz="4" w:space="0" w:color="auto"/>
              <w:right w:val="single" w:sz="4" w:space="0" w:color="auto"/>
            </w:tcBorders>
            <w:vAlign w:val="center"/>
            <w:hideMark/>
          </w:tcPr>
          <w:p w14:paraId="39C06831" w14:textId="77777777" w:rsidR="002D5614" w:rsidRDefault="002D5614" w:rsidP="00205A7E">
            <w:pPr>
              <w:keepNext/>
              <w:keepLines/>
              <w:spacing w:after="0"/>
              <w:jc w:val="center"/>
              <w:rPr>
                <w:rFonts w:cs="Arial"/>
              </w:rPr>
            </w:pPr>
            <w:r>
              <w:rPr>
                <w:color w:val="000000"/>
                <w:sz w:val="18"/>
                <w:szCs w:val="18"/>
              </w:rPr>
              <w:t>3</w:t>
            </w:r>
          </w:p>
        </w:tc>
        <w:tc>
          <w:tcPr>
            <w:tcW w:w="923" w:type="dxa"/>
            <w:tcBorders>
              <w:top w:val="single" w:sz="4" w:space="0" w:color="auto"/>
              <w:left w:val="single" w:sz="4" w:space="0" w:color="auto"/>
              <w:bottom w:val="single" w:sz="4" w:space="0" w:color="auto"/>
              <w:right w:val="double" w:sz="4" w:space="0" w:color="auto"/>
            </w:tcBorders>
            <w:vAlign w:val="center"/>
            <w:hideMark/>
          </w:tcPr>
          <w:p w14:paraId="2569F54C" w14:textId="77777777" w:rsidR="002D5614" w:rsidRDefault="002D5614" w:rsidP="00205A7E">
            <w:pPr>
              <w:keepNext/>
              <w:keepLines/>
              <w:spacing w:after="0"/>
              <w:jc w:val="center"/>
              <w:rPr>
                <w:rFonts w:cs="Arial"/>
              </w:rPr>
            </w:pPr>
            <w:r>
              <w:rPr>
                <w:color w:val="000000"/>
                <w:sz w:val="18"/>
                <w:szCs w:val="18"/>
              </w:rPr>
              <w:t>4</w:t>
            </w:r>
          </w:p>
        </w:tc>
        <w:tc>
          <w:tcPr>
            <w:tcW w:w="920" w:type="dxa"/>
            <w:tcBorders>
              <w:top w:val="single" w:sz="4" w:space="0" w:color="auto"/>
              <w:left w:val="double" w:sz="4" w:space="0" w:color="auto"/>
              <w:bottom w:val="single" w:sz="4" w:space="0" w:color="auto"/>
              <w:right w:val="single" w:sz="4" w:space="0" w:color="auto"/>
            </w:tcBorders>
            <w:vAlign w:val="center"/>
            <w:hideMark/>
          </w:tcPr>
          <w:p w14:paraId="6CF421C0" w14:textId="77777777" w:rsidR="002D5614" w:rsidRDefault="002D5614" w:rsidP="00205A7E">
            <w:pPr>
              <w:keepNext/>
              <w:keepLines/>
              <w:spacing w:after="0"/>
              <w:jc w:val="center"/>
              <w:rPr>
                <w:rFonts w:cs="Arial"/>
              </w:rPr>
            </w:pPr>
            <w:r>
              <w:rPr>
                <w:color w:val="000000"/>
                <w:sz w:val="18"/>
                <w:szCs w:val="18"/>
              </w:rPr>
              <w:t>0</w:t>
            </w:r>
          </w:p>
        </w:tc>
        <w:tc>
          <w:tcPr>
            <w:tcW w:w="922" w:type="dxa"/>
            <w:tcBorders>
              <w:top w:val="single" w:sz="4" w:space="0" w:color="auto"/>
              <w:left w:val="single" w:sz="4" w:space="0" w:color="auto"/>
              <w:bottom w:val="single" w:sz="4" w:space="0" w:color="auto"/>
              <w:right w:val="double" w:sz="4" w:space="0" w:color="auto"/>
            </w:tcBorders>
            <w:vAlign w:val="center"/>
            <w:hideMark/>
          </w:tcPr>
          <w:p w14:paraId="6CBFA4FB" w14:textId="77777777" w:rsidR="002D5614" w:rsidRDefault="002D5614" w:rsidP="00205A7E">
            <w:pPr>
              <w:keepNext/>
              <w:keepLines/>
              <w:spacing w:after="0"/>
              <w:jc w:val="center"/>
              <w:rPr>
                <w:rFonts w:cs="Arial"/>
              </w:rPr>
            </w:pPr>
            <w:r>
              <w:rPr>
                <w:color w:val="000000"/>
                <w:sz w:val="18"/>
                <w:szCs w:val="18"/>
              </w:rPr>
              <w:t>2</w:t>
            </w:r>
          </w:p>
        </w:tc>
        <w:tc>
          <w:tcPr>
            <w:tcW w:w="940" w:type="dxa"/>
            <w:tcBorders>
              <w:top w:val="single" w:sz="4" w:space="0" w:color="auto"/>
              <w:left w:val="double" w:sz="4" w:space="0" w:color="auto"/>
              <w:bottom w:val="single" w:sz="4" w:space="0" w:color="auto"/>
              <w:right w:val="single" w:sz="4" w:space="0" w:color="auto"/>
            </w:tcBorders>
            <w:shd w:val="clear" w:color="auto" w:fill="E2EFD9" w:themeFill="accent6" w:themeFillTint="33"/>
            <w:vAlign w:val="center"/>
            <w:hideMark/>
          </w:tcPr>
          <w:p w14:paraId="0F29101F" w14:textId="77777777" w:rsidR="002D5614" w:rsidRDefault="002D5614" w:rsidP="00205A7E">
            <w:pPr>
              <w:keepNext/>
              <w:keepLines/>
              <w:spacing w:after="0"/>
              <w:jc w:val="center"/>
              <w:rPr>
                <w:rFonts w:cs="Arial"/>
              </w:rPr>
            </w:pPr>
            <w:r>
              <w:rPr>
                <w:color w:val="000000"/>
                <w:sz w:val="18"/>
                <w:szCs w:val="18"/>
              </w:rPr>
              <w:t>0%</w:t>
            </w:r>
          </w:p>
        </w:tc>
        <w:tc>
          <w:tcPr>
            <w:tcW w:w="940" w:type="dxa"/>
            <w:tcBorders>
              <w:top w:val="single" w:sz="4" w:space="0" w:color="auto"/>
              <w:left w:val="single" w:sz="4" w:space="0" w:color="auto"/>
              <w:bottom w:val="single" w:sz="4" w:space="0" w:color="auto"/>
              <w:right w:val="double" w:sz="4" w:space="0" w:color="auto"/>
            </w:tcBorders>
            <w:shd w:val="clear" w:color="auto" w:fill="E2EFD9" w:themeFill="accent6" w:themeFillTint="33"/>
            <w:vAlign w:val="center"/>
            <w:hideMark/>
          </w:tcPr>
          <w:p w14:paraId="355C2E22" w14:textId="77777777" w:rsidR="002D5614" w:rsidRDefault="002D5614" w:rsidP="00205A7E">
            <w:pPr>
              <w:keepNext/>
              <w:keepLines/>
              <w:spacing w:after="0"/>
              <w:jc w:val="center"/>
              <w:rPr>
                <w:rFonts w:cs="Arial"/>
              </w:rPr>
            </w:pPr>
            <w:r>
              <w:rPr>
                <w:color w:val="000000"/>
                <w:sz w:val="18"/>
                <w:szCs w:val="18"/>
              </w:rPr>
              <w:t>10,5%</w:t>
            </w:r>
          </w:p>
        </w:tc>
        <w:tc>
          <w:tcPr>
            <w:tcW w:w="966" w:type="dxa"/>
            <w:tcBorders>
              <w:top w:val="single" w:sz="4" w:space="0" w:color="auto"/>
              <w:left w:val="double" w:sz="4" w:space="0" w:color="auto"/>
              <w:bottom w:val="single" w:sz="4" w:space="0" w:color="auto"/>
              <w:right w:val="single" w:sz="4" w:space="0" w:color="auto"/>
            </w:tcBorders>
            <w:vAlign w:val="center"/>
            <w:hideMark/>
          </w:tcPr>
          <w:p w14:paraId="2C62A306" w14:textId="77777777" w:rsidR="002D5614" w:rsidRPr="004D29C6" w:rsidRDefault="002D5614" w:rsidP="00205A7E">
            <w:pPr>
              <w:keepNext/>
              <w:keepLines/>
              <w:spacing w:after="0"/>
              <w:jc w:val="center"/>
              <w:rPr>
                <w:rFonts w:cs="Arial"/>
                <w:sz w:val="18"/>
                <w:szCs w:val="18"/>
              </w:rPr>
            </w:pPr>
            <w:r w:rsidRPr="004D29C6">
              <w:rPr>
                <w:rFonts w:cs="Arial"/>
                <w:sz w:val="18"/>
                <w:szCs w:val="18"/>
              </w:rPr>
              <w:t>Low NB</w:t>
            </w:r>
          </w:p>
        </w:tc>
        <w:tc>
          <w:tcPr>
            <w:tcW w:w="966" w:type="dxa"/>
            <w:tcBorders>
              <w:top w:val="single" w:sz="4" w:space="0" w:color="auto"/>
              <w:left w:val="single" w:sz="4" w:space="0" w:color="auto"/>
              <w:bottom w:val="single" w:sz="4" w:space="0" w:color="auto"/>
              <w:right w:val="double" w:sz="4" w:space="0" w:color="auto"/>
            </w:tcBorders>
            <w:vAlign w:val="center"/>
            <w:hideMark/>
          </w:tcPr>
          <w:p w14:paraId="5F14DA65" w14:textId="77777777" w:rsidR="002D5614" w:rsidRPr="004D29C6" w:rsidRDefault="002D5614" w:rsidP="00205A7E">
            <w:pPr>
              <w:keepNext/>
              <w:keepLines/>
              <w:spacing w:after="0"/>
              <w:jc w:val="center"/>
              <w:rPr>
                <w:rFonts w:cs="Arial"/>
                <w:sz w:val="18"/>
                <w:szCs w:val="18"/>
              </w:rPr>
            </w:pPr>
            <w:r w:rsidRPr="004D29C6">
              <w:rPr>
                <w:rFonts w:cs="Arial"/>
                <w:sz w:val="18"/>
                <w:szCs w:val="18"/>
              </w:rPr>
              <w:t>High NB</w:t>
            </w:r>
          </w:p>
        </w:tc>
      </w:tr>
      <w:tr w:rsidR="002D5614" w14:paraId="10A2A3E2" w14:textId="77777777" w:rsidTr="00205A7E">
        <w:tc>
          <w:tcPr>
            <w:tcW w:w="819" w:type="dxa"/>
            <w:tcBorders>
              <w:top w:val="single" w:sz="4" w:space="0" w:color="auto"/>
              <w:left w:val="double" w:sz="4" w:space="0" w:color="auto"/>
              <w:bottom w:val="single" w:sz="4" w:space="0" w:color="auto"/>
              <w:right w:val="single" w:sz="4" w:space="0" w:color="auto"/>
            </w:tcBorders>
            <w:vAlign w:val="center"/>
            <w:hideMark/>
          </w:tcPr>
          <w:p w14:paraId="50522E91" w14:textId="77777777" w:rsidR="002D5614" w:rsidRPr="00085148" w:rsidRDefault="002D5614" w:rsidP="00205A7E">
            <w:pPr>
              <w:keepNext/>
              <w:keepLines/>
              <w:spacing w:after="0"/>
              <w:jc w:val="center"/>
              <w:rPr>
                <w:rFonts w:cs="Arial"/>
              </w:rPr>
            </w:pPr>
            <w:r w:rsidRPr="00085148">
              <w:rPr>
                <w:color w:val="000000"/>
                <w:sz w:val="18"/>
                <w:szCs w:val="18"/>
              </w:rPr>
              <w:t>10</w:t>
            </w:r>
          </w:p>
        </w:tc>
        <w:tc>
          <w:tcPr>
            <w:tcW w:w="866" w:type="dxa"/>
            <w:tcBorders>
              <w:top w:val="single" w:sz="4" w:space="0" w:color="auto"/>
              <w:left w:val="single" w:sz="4" w:space="0" w:color="auto"/>
              <w:bottom w:val="single" w:sz="4" w:space="0" w:color="auto"/>
              <w:right w:val="single" w:sz="4" w:space="0" w:color="auto"/>
            </w:tcBorders>
            <w:vAlign w:val="center"/>
            <w:hideMark/>
          </w:tcPr>
          <w:p w14:paraId="7BD1493D" w14:textId="77777777" w:rsidR="002D5614" w:rsidRPr="00085148" w:rsidRDefault="002D5614" w:rsidP="00205A7E">
            <w:pPr>
              <w:keepNext/>
              <w:keepLines/>
              <w:spacing w:after="0"/>
              <w:jc w:val="center"/>
              <w:rPr>
                <w:rFonts w:cs="Arial"/>
              </w:rPr>
            </w:pPr>
            <w:r w:rsidRPr="00085148">
              <w:rPr>
                <w:color w:val="000000"/>
                <w:sz w:val="18"/>
                <w:szCs w:val="18"/>
              </w:rPr>
              <w:t>50</w:t>
            </w:r>
          </w:p>
        </w:tc>
        <w:tc>
          <w:tcPr>
            <w:tcW w:w="683" w:type="dxa"/>
            <w:tcBorders>
              <w:top w:val="single" w:sz="4" w:space="0" w:color="auto"/>
              <w:left w:val="single" w:sz="4" w:space="0" w:color="auto"/>
              <w:bottom w:val="single" w:sz="4" w:space="0" w:color="auto"/>
              <w:right w:val="double" w:sz="4" w:space="0" w:color="auto"/>
            </w:tcBorders>
            <w:vAlign w:val="center"/>
            <w:hideMark/>
          </w:tcPr>
          <w:p w14:paraId="26F39DD3" w14:textId="77777777" w:rsidR="002D5614" w:rsidRPr="00085148" w:rsidRDefault="002D5614" w:rsidP="00205A7E">
            <w:pPr>
              <w:keepNext/>
              <w:keepLines/>
              <w:spacing w:after="0"/>
              <w:jc w:val="center"/>
              <w:rPr>
                <w:rFonts w:cs="Arial"/>
              </w:rPr>
            </w:pPr>
            <w:r w:rsidRPr="00085148">
              <w:rPr>
                <w:color w:val="000000"/>
                <w:sz w:val="18"/>
                <w:szCs w:val="18"/>
              </w:rPr>
              <w:t>3</w:t>
            </w:r>
          </w:p>
        </w:tc>
        <w:tc>
          <w:tcPr>
            <w:tcW w:w="1843" w:type="dxa"/>
            <w:gridSpan w:val="2"/>
            <w:tcBorders>
              <w:top w:val="single" w:sz="4" w:space="0" w:color="auto"/>
              <w:left w:val="double" w:sz="4" w:space="0" w:color="auto"/>
              <w:bottom w:val="single" w:sz="4" w:space="0" w:color="auto"/>
              <w:right w:val="double" w:sz="4" w:space="0" w:color="auto"/>
            </w:tcBorders>
            <w:vAlign w:val="center"/>
            <w:hideMark/>
          </w:tcPr>
          <w:p w14:paraId="6AFA7A72" w14:textId="77777777" w:rsidR="002D5614" w:rsidRPr="00085148" w:rsidRDefault="002D5614" w:rsidP="00205A7E">
            <w:pPr>
              <w:keepNext/>
              <w:keepLines/>
              <w:spacing w:after="0"/>
              <w:jc w:val="center"/>
              <w:rPr>
                <w:rFonts w:cs="Arial"/>
              </w:rPr>
            </w:pPr>
            <w:r w:rsidRPr="00085148">
              <w:rPr>
                <w:color w:val="000000"/>
                <w:sz w:val="18"/>
                <w:szCs w:val="18"/>
              </w:rPr>
              <w:t>3</w:t>
            </w:r>
          </w:p>
        </w:tc>
        <w:tc>
          <w:tcPr>
            <w:tcW w:w="1842" w:type="dxa"/>
            <w:gridSpan w:val="2"/>
            <w:tcBorders>
              <w:top w:val="single" w:sz="4" w:space="0" w:color="auto"/>
              <w:left w:val="double" w:sz="4" w:space="0" w:color="auto"/>
              <w:bottom w:val="single" w:sz="4" w:space="0" w:color="auto"/>
              <w:right w:val="double" w:sz="4" w:space="0" w:color="auto"/>
            </w:tcBorders>
            <w:vAlign w:val="center"/>
            <w:hideMark/>
          </w:tcPr>
          <w:p w14:paraId="26385C9B" w14:textId="77777777" w:rsidR="002D5614" w:rsidRPr="00085148" w:rsidRDefault="002D5614" w:rsidP="00205A7E">
            <w:pPr>
              <w:keepNext/>
              <w:keepLines/>
              <w:spacing w:after="0"/>
              <w:jc w:val="center"/>
              <w:rPr>
                <w:rFonts w:cs="Arial"/>
              </w:rPr>
            </w:pPr>
            <w:r w:rsidRPr="00085148">
              <w:rPr>
                <w:color w:val="000000"/>
                <w:sz w:val="18"/>
                <w:szCs w:val="18"/>
              </w:rPr>
              <w:t>3</w:t>
            </w:r>
          </w:p>
        </w:tc>
        <w:tc>
          <w:tcPr>
            <w:tcW w:w="1880" w:type="dxa"/>
            <w:gridSpan w:val="2"/>
            <w:tcBorders>
              <w:top w:val="single" w:sz="4" w:space="0" w:color="auto"/>
              <w:left w:val="double" w:sz="4" w:space="0" w:color="auto"/>
              <w:bottom w:val="single" w:sz="4" w:space="0" w:color="auto"/>
              <w:right w:val="double" w:sz="4" w:space="0" w:color="auto"/>
            </w:tcBorders>
            <w:shd w:val="clear" w:color="auto" w:fill="E2EFD9" w:themeFill="accent6" w:themeFillTint="33"/>
            <w:vAlign w:val="center"/>
            <w:hideMark/>
          </w:tcPr>
          <w:p w14:paraId="5B455D14" w14:textId="77777777" w:rsidR="002D5614" w:rsidRPr="00085148" w:rsidRDefault="002D5614" w:rsidP="00205A7E">
            <w:pPr>
              <w:keepNext/>
              <w:keepLines/>
              <w:spacing w:after="0"/>
              <w:jc w:val="center"/>
              <w:rPr>
                <w:rFonts w:cs="Arial"/>
              </w:rPr>
            </w:pPr>
            <w:r w:rsidRPr="00085148">
              <w:rPr>
                <w:color w:val="000000"/>
                <w:sz w:val="18"/>
                <w:szCs w:val="18"/>
              </w:rPr>
              <w:t>6,8%</w:t>
            </w:r>
          </w:p>
        </w:tc>
        <w:tc>
          <w:tcPr>
            <w:tcW w:w="1932" w:type="dxa"/>
            <w:gridSpan w:val="2"/>
            <w:tcBorders>
              <w:top w:val="single" w:sz="4" w:space="0" w:color="auto"/>
              <w:left w:val="double" w:sz="4" w:space="0" w:color="auto"/>
              <w:bottom w:val="single" w:sz="4" w:space="0" w:color="auto"/>
              <w:right w:val="double" w:sz="4" w:space="0" w:color="auto"/>
            </w:tcBorders>
            <w:vAlign w:val="center"/>
            <w:hideMark/>
          </w:tcPr>
          <w:p w14:paraId="0F10C001" w14:textId="77777777" w:rsidR="002D5614" w:rsidRPr="00085148" w:rsidRDefault="002D5614" w:rsidP="00205A7E">
            <w:pPr>
              <w:keepNext/>
              <w:keepLines/>
              <w:spacing w:after="0"/>
              <w:jc w:val="center"/>
              <w:rPr>
                <w:rFonts w:cs="Arial"/>
                <w:sz w:val="18"/>
                <w:szCs w:val="18"/>
              </w:rPr>
            </w:pPr>
            <w:r w:rsidRPr="00085148">
              <w:rPr>
                <w:rFonts w:cs="Arial"/>
                <w:sz w:val="18"/>
                <w:szCs w:val="18"/>
              </w:rPr>
              <w:t>N/A</w:t>
            </w:r>
          </w:p>
        </w:tc>
      </w:tr>
      <w:tr w:rsidR="002D5614" w14:paraId="2707523C" w14:textId="77777777" w:rsidTr="00205A7E">
        <w:trPr>
          <w:trHeight w:val="70"/>
        </w:trPr>
        <w:tc>
          <w:tcPr>
            <w:tcW w:w="819" w:type="dxa"/>
            <w:tcBorders>
              <w:top w:val="single" w:sz="4" w:space="0" w:color="auto"/>
              <w:left w:val="double" w:sz="4" w:space="0" w:color="auto"/>
              <w:bottom w:val="single" w:sz="4" w:space="0" w:color="auto"/>
              <w:right w:val="single" w:sz="4" w:space="0" w:color="auto"/>
            </w:tcBorders>
            <w:vAlign w:val="center"/>
            <w:hideMark/>
          </w:tcPr>
          <w:p w14:paraId="4A75CD73" w14:textId="77777777" w:rsidR="002D5614" w:rsidRDefault="002D5614" w:rsidP="00205A7E">
            <w:pPr>
              <w:keepNext/>
              <w:keepLines/>
              <w:spacing w:after="0"/>
              <w:jc w:val="center"/>
              <w:rPr>
                <w:rFonts w:cs="Arial"/>
              </w:rPr>
            </w:pPr>
            <w:r>
              <w:rPr>
                <w:color w:val="000000"/>
                <w:sz w:val="18"/>
                <w:szCs w:val="18"/>
              </w:rPr>
              <w:t>15</w:t>
            </w:r>
          </w:p>
        </w:tc>
        <w:tc>
          <w:tcPr>
            <w:tcW w:w="866" w:type="dxa"/>
            <w:tcBorders>
              <w:top w:val="single" w:sz="4" w:space="0" w:color="auto"/>
              <w:left w:val="single" w:sz="4" w:space="0" w:color="auto"/>
              <w:bottom w:val="single" w:sz="4" w:space="0" w:color="auto"/>
              <w:right w:val="single" w:sz="4" w:space="0" w:color="auto"/>
            </w:tcBorders>
            <w:vAlign w:val="center"/>
            <w:hideMark/>
          </w:tcPr>
          <w:p w14:paraId="24577F09" w14:textId="77777777" w:rsidR="002D5614" w:rsidRDefault="002D5614" w:rsidP="00205A7E">
            <w:pPr>
              <w:keepNext/>
              <w:keepLines/>
              <w:spacing w:after="0"/>
              <w:jc w:val="center"/>
              <w:rPr>
                <w:rFonts w:cs="Arial"/>
              </w:rPr>
            </w:pPr>
            <w:r>
              <w:rPr>
                <w:color w:val="000000"/>
                <w:sz w:val="18"/>
                <w:szCs w:val="18"/>
              </w:rPr>
              <w:t>75</w:t>
            </w:r>
          </w:p>
        </w:tc>
        <w:tc>
          <w:tcPr>
            <w:tcW w:w="683" w:type="dxa"/>
            <w:tcBorders>
              <w:top w:val="single" w:sz="4" w:space="0" w:color="auto"/>
              <w:left w:val="single" w:sz="4" w:space="0" w:color="auto"/>
              <w:bottom w:val="single" w:sz="4" w:space="0" w:color="auto"/>
              <w:right w:val="double" w:sz="4" w:space="0" w:color="auto"/>
            </w:tcBorders>
            <w:vAlign w:val="center"/>
            <w:hideMark/>
          </w:tcPr>
          <w:p w14:paraId="4BB12FF8" w14:textId="77777777" w:rsidR="002D5614" w:rsidRDefault="002D5614" w:rsidP="00205A7E">
            <w:pPr>
              <w:keepNext/>
              <w:keepLines/>
              <w:spacing w:after="0"/>
              <w:jc w:val="center"/>
              <w:rPr>
                <w:rFonts w:cs="Arial"/>
              </w:rPr>
            </w:pPr>
            <w:r>
              <w:rPr>
                <w:color w:val="000000"/>
                <w:sz w:val="18"/>
                <w:szCs w:val="18"/>
              </w:rPr>
              <w:t>4</w:t>
            </w:r>
          </w:p>
        </w:tc>
        <w:tc>
          <w:tcPr>
            <w:tcW w:w="920" w:type="dxa"/>
            <w:tcBorders>
              <w:top w:val="single" w:sz="4" w:space="0" w:color="auto"/>
              <w:left w:val="double" w:sz="4" w:space="0" w:color="auto"/>
              <w:bottom w:val="single" w:sz="4" w:space="0" w:color="auto"/>
              <w:right w:val="single" w:sz="4" w:space="0" w:color="auto"/>
            </w:tcBorders>
            <w:vAlign w:val="center"/>
            <w:hideMark/>
          </w:tcPr>
          <w:p w14:paraId="678A23AB" w14:textId="77777777" w:rsidR="002D5614" w:rsidRDefault="002D5614" w:rsidP="00205A7E">
            <w:pPr>
              <w:keepNext/>
              <w:keepLines/>
              <w:spacing w:after="0"/>
              <w:jc w:val="center"/>
              <w:rPr>
                <w:rFonts w:cs="Arial"/>
              </w:rPr>
            </w:pPr>
            <w:r>
              <w:rPr>
                <w:color w:val="000000"/>
                <w:sz w:val="18"/>
                <w:szCs w:val="18"/>
              </w:rPr>
              <w:t>2</w:t>
            </w:r>
          </w:p>
        </w:tc>
        <w:tc>
          <w:tcPr>
            <w:tcW w:w="923" w:type="dxa"/>
            <w:tcBorders>
              <w:top w:val="single" w:sz="4" w:space="0" w:color="auto"/>
              <w:left w:val="single" w:sz="4" w:space="0" w:color="auto"/>
              <w:bottom w:val="single" w:sz="4" w:space="0" w:color="auto"/>
              <w:right w:val="double" w:sz="4" w:space="0" w:color="auto"/>
            </w:tcBorders>
            <w:vAlign w:val="center"/>
            <w:hideMark/>
          </w:tcPr>
          <w:p w14:paraId="39874A83" w14:textId="77777777" w:rsidR="002D5614" w:rsidRDefault="002D5614" w:rsidP="00205A7E">
            <w:pPr>
              <w:keepNext/>
              <w:keepLines/>
              <w:spacing w:after="0"/>
              <w:jc w:val="center"/>
              <w:rPr>
                <w:rFonts w:cs="Arial"/>
              </w:rPr>
            </w:pPr>
            <w:r>
              <w:rPr>
                <w:color w:val="000000"/>
                <w:sz w:val="18"/>
                <w:szCs w:val="18"/>
              </w:rPr>
              <w:t>3</w:t>
            </w:r>
          </w:p>
        </w:tc>
        <w:tc>
          <w:tcPr>
            <w:tcW w:w="920" w:type="dxa"/>
            <w:tcBorders>
              <w:top w:val="single" w:sz="4" w:space="0" w:color="auto"/>
              <w:left w:val="double" w:sz="4" w:space="0" w:color="auto"/>
              <w:bottom w:val="single" w:sz="4" w:space="0" w:color="auto"/>
              <w:right w:val="single" w:sz="4" w:space="0" w:color="auto"/>
            </w:tcBorders>
            <w:vAlign w:val="center"/>
            <w:hideMark/>
          </w:tcPr>
          <w:p w14:paraId="164252F1" w14:textId="77777777" w:rsidR="002D5614" w:rsidRDefault="002D5614" w:rsidP="00205A7E">
            <w:pPr>
              <w:keepNext/>
              <w:keepLines/>
              <w:spacing w:after="0"/>
              <w:jc w:val="center"/>
              <w:rPr>
                <w:rFonts w:cs="Arial"/>
              </w:rPr>
            </w:pPr>
            <w:r>
              <w:rPr>
                <w:color w:val="000000"/>
                <w:sz w:val="18"/>
                <w:szCs w:val="18"/>
              </w:rPr>
              <w:t>2</w:t>
            </w:r>
          </w:p>
        </w:tc>
        <w:tc>
          <w:tcPr>
            <w:tcW w:w="922" w:type="dxa"/>
            <w:tcBorders>
              <w:top w:val="single" w:sz="4" w:space="0" w:color="auto"/>
              <w:left w:val="single" w:sz="4" w:space="0" w:color="auto"/>
              <w:bottom w:val="single" w:sz="4" w:space="0" w:color="auto"/>
              <w:right w:val="double" w:sz="4" w:space="0" w:color="auto"/>
            </w:tcBorders>
            <w:vAlign w:val="center"/>
            <w:hideMark/>
          </w:tcPr>
          <w:p w14:paraId="0974A8BE" w14:textId="77777777" w:rsidR="002D5614" w:rsidRDefault="002D5614" w:rsidP="00205A7E">
            <w:pPr>
              <w:keepNext/>
              <w:keepLines/>
              <w:spacing w:after="0"/>
              <w:jc w:val="center"/>
              <w:rPr>
                <w:rFonts w:cs="Arial"/>
              </w:rPr>
            </w:pPr>
            <w:r>
              <w:rPr>
                <w:color w:val="000000"/>
                <w:sz w:val="18"/>
                <w:szCs w:val="18"/>
              </w:rPr>
              <w:t>6</w:t>
            </w:r>
          </w:p>
        </w:tc>
        <w:tc>
          <w:tcPr>
            <w:tcW w:w="940" w:type="dxa"/>
            <w:tcBorders>
              <w:top w:val="single" w:sz="4" w:space="0" w:color="auto"/>
              <w:left w:val="double" w:sz="4" w:space="0" w:color="auto"/>
              <w:bottom w:val="single" w:sz="4" w:space="0" w:color="auto"/>
              <w:right w:val="single" w:sz="4" w:space="0" w:color="auto"/>
            </w:tcBorders>
            <w:shd w:val="clear" w:color="auto" w:fill="E2EFD9" w:themeFill="accent6" w:themeFillTint="33"/>
            <w:vAlign w:val="center"/>
            <w:hideMark/>
          </w:tcPr>
          <w:p w14:paraId="5B7A358C" w14:textId="77777777" w:rsidR="002D5614" w:rsidRDefault="002D5614" w:rsidP="00205A7E">
            <w:pPr>
              <w:keepNext/>
              <w:keepLines/>
              <w:spacing w:after="0"/>
              <w:jc w:val="center"/>
              <w:rPr>
                <w:rFonts w:cs="Arial"/>
              </w:rPr>
            </w:pPr>
            <w:r>
              <w:rPr>
                <w:color w:val="000000"/>
                <w:sz w:val="18"/>
                <w:szCs w:val="18"/>
              </w:rPr>
              <w:t>2,9%</w:t>
            </w:r>
          </w:p>
        </w:tc>
        <w:tc>
          <w:tcPr>
            <w:tcW w:w="940" w:type="dxa"/>
            <w:tcBorders>
              <w:top w:val="single" w:sz="4" w:space="0" w:color="auto"/>
              <w:left w:val="single" w:sz="4" w:space="0" w:color="auto"/>
              <w:bottom w:val="single" w:sz="4" w:space="0" w:color="auto"/>
              <w:right w:val="double" w:sz="4" w:space="0" w:color="auto"/>
            </w:tcBorders>
            <w:shd w:val="clear" w:color="auto" w:fill="E2EFD9" w:themeFill="accent6" w:themeFillTint="33"/>
            <w:vAlign w:val="center"/>
            <w:hideMark/>
          </w:tcPr>
          <w:p w14:paraId="7A65225C" w14:textId="77777777" w:rsidR="002D5614" w:rsidRDefault="002D5614" w:rsidP="00205A7E">
            <w:pPr>
              <w:keepNext/>
              <w:keepLines/>
              <w:spacing w:after="0"/>
              <w:jc w:val="center"/>
              <w:rPr>
                <w:rFonts w:cs="Arial"/>
              </w:rPr>
            </w:pPr>
            <w:r>
              <w:rPr>
                <w:color w:val="000000"/>
                <w:sz w:val="18"/>
                <w:szCs w:val="18"/>
              </w:rPr>
              <w:t>8,7%</w:t>
            </w:r>
          </w:p>
        </w:tc>
        <w:tc>
          <w:tcPr>
            <w:tcW w:w="966" w:type="dxa"/>
            <w:tcBorders>
              <w:top w:val="single" w:sz="4" w:space="0" w:color="auto"/>
              <w:left w:val="double" w:sz="4" w:space="0" w:color="auto"/>
              <w:bottom w:val="single" w:sz="4" w:space="0" w:color="auto"/>
              <w:right w:val="single" w:sz="4" w:space="0" w:color="auto"/>
            </w:tcBorders>
            <w:vAlign w:val="center"/>
            <w:hideMark/>
          </w:tcPr>
          <w:p w14:paraId="14E40FD9" w14:textId="77777777" w:rsidR="002D5614" w:rsidRPr="004D29C6" w:rsidRDefault="002D5614" w:rsidP="00205A7E">
            <w:pPr>
              <w:keepNext/>
              <w:keepLines/>
              <w:spacing w:after="0"/>
              <w:jc w:val="center"/>
              <w:rPr>
                <w:rFonts w:cs="Arial"/>
                <w:sz w:val="18"/>
                <w:szCs w:val="18"/>
              </w:rPr>
            </w:pPr>
            <w:r w:rsidRPr="004D29C6">
              <w:rPr>
                <w:color w:val="000000"/>
                <w:sz w:val="18"/>
                <w:szCs w:val="18"/>
              </w:rPr>
              <w:t xml:space="preserve">Even NB </w:t>
            </w:r>
          </w:p>
        </w:tc>
        <w:tc>
          <w:tcPr>
            <w:tcW w:w="966" w:type="dxa"/>
            <w:tcBorders>
              <w:top w:val="single" w:sz="4" w:space="0" w:color="auto"/>
              <w:left w:val="single" w:sz="4" w:space="0" w:color="auto"/>
              <w:bottom w:val="single" w:sz="4" w:space="0" w:color="auto"/>
              <w:right w:val="double" w:sz="4" w:space="0" w:color="auto"/>
            </w:tcBorders>
            <w:vAlign w:val="center"/>
            <w:hideMark/>
          </w:tcPr>
          <w:p w14:paraId="0C40A504" w14:textId="77777777" w:rsidR="002D5614" w:rsidRPr="004D29C6" w:rsidRDefault="002D5614" w:rsidP="00205A7E">
            <w:pPr>
              <w:keepNext/>
              <w:keepLines/>
              <w:spacing w:after="0"/>
              <w:jc w:val="center"/>
              <w:rPr>
                <w:rFonts w:cs="Arial"/>
                <w:sz w:val="18"/>
                <w:szCs w:val="18"/>
              </w:rPr>
            </w:pPr>
            <w:r w:rsidRPr="004D29C6">
              <w:rPr>
                <w:rFonts w:cs="Arial"/>
                <w:sz w:val="18"/>
                <w:szCs w:val="18"/>
              </w:rPr>
              <w:t>Odd NB</w:t>
            </w:r>
          </w:p>
        </w:tc>
      </w:tr>
      <w:tr w:rsidR="002D5614" w14:paraId="2ED0B48F" w14:textId="77777777" w:rsidTr="00205A7E">
        <w:tc>
          <w:tcPr>
            <w:tcW w:w="819" w:type="dxa"/>
            <w:tcBorders>
              <w:top w:val="single" w:sz="4" w:space="0" w:color="auto"/>
              <w:left w:val="double" w:sz="4" w:space="0" w:color="auto"/>
              <w:bottom w:val="double" w:sz="4" w:space="0" w:color="auto"/>
              <w:right w:val="single" w:sz="4" w:space="0" w:color="auto"/>
            </w:tcBorders>
            <w:vAlign w:val="center"/>
            <w:hideMark/>
          </w:tcPr>
          <w:p w14:paraId="5EEAA215" w14:textId="77777777" w:rsidR="002D5614" w:rsidRDefault="002D5614" w:rsidP="00205A7E">
            <w:pPr>
              <w:keepNext/>
              <w:keepLines/>
              <w:spacing w:after="0"/>
              <w:jc w:val="center"/>
              <w:rPr>
                <w:rFonts w:cs="Arial"/>
              </w:rPr>
            </w:pPr>
            <w:r>
              <w:rPr>
                <w:color w:val="000000"/>
                <w:sz w:val="18"/>
                <w:szCs w:val="18"/>
              </w:rPr>
              <w:t>20</w:t>
            </w:r>
          </w:p>
        </w:tc>
        <w:tc>
          <w:tcPr>
            <w:tcW w:w="866" w:type="dxa"/>
            <w:tcBorders>
              <w:top w:val="single" w:sz="4" w:space="0" w:color="auto"/>
              <w:left w:val="single" w:sz="4" w:space="0" w:color="auto"/>
              <w:bottom w:val="double" w:sz="4" w:space="0" w:color="auto"/>
              <w:right w:val="single" w:sz="4" w:space="0" w:color="auto"/>
            </w:tcBorders>
            <w:vAlign w:val="center"/>
            <w:hideMark/>
          </w:tcPr>
          <w:p w14:paraId="6A58FB1C" w14:textId="77777777" w:rsidR="002D5614" w:rsidRDefault="002D5614" w:rsidP="00205A7E">
            <w:pPr>
              <w:keepNext/>
              <w:keepLines/>
              <w:spacing w:after="0"/>
              <w:jc w:val="center"/>
              <w:rPr>
                <w:rFonts w:cs="Arial"/>
              </w:rPr>
            </w:pPr>
            <w:r>
              <w:rPr>
                <w:color w:val="000000"/>
                <w:sz w:val="18"/>
                <w:szCs w:val="18"/>
              </w:rPr>
              <w:t>100</w:t>
            </w:r>
          </w:p>
        </w:tc>
        <w:tc>
          <w:tcPr>
            <w:tcW w:w="683" w:type="dxa"/>
            <w:tcBorders>
              <w:top w:val="single" w:sz="4" w:space="0" w:color="auto"/>
              <w:left w:val="single" w:sz="4" w:space="0" w:color="auto"/>
              <w:bottom w:val="double" w:sz="4" w:space="0" w:color="auto"/>
              <w:right w:val="double" w:sz="4" w:space="0" w:color="auto"/>
            </w:tcBorders>
            <w:vAlign w:val="center"/>
            <w:hideMark/>
          </w:tcPr>
          <w:p w14:paraId="72A64832" w14:textId="77777777" w:rsidR="002D5614" w:rsidRDefault="002D5614" w:rsidP="00205A7E">
            <w:pPr>
              <w:keepNext/>
              <w:keepLines/>
              <w:spacing w:after="0"/>
              <w:jc w:val="center"/>
              <w:rPr>
                <w:rFonts w:cs="Arial"/>
              </w:rPr>
            </w:pPr>
            <w:r>
              <w:rPr>
                <w:color w:val="000000"/>
                <w:sz w:val="18"/>
                <w:szCs w:val="18"/>
              </w:rPr>
              <w:t>4</w:t>
            </w:r>
          </w:p>
        </w:tc>
        <w:tc>
          <w:tcPr>
            <w:tcW w:w="1843" w:type="dxa"/>
            <w:gridSpan w:val="2"/>
            <w:tcBorders>
              <w:top w:val="single" w:sz="4" w:space="0" w:color="auto"/>
              <w:left w:val="double" w:sz="4" w:space="0" w:color="auto"/>
              <w:bottom w:val="double" w:sz="4" w:space="0" w:color="auto"/>
              <w:right w:val="double" w:sz="4" w:space="0" w:color="auto"/>
            </w:tcBorders>
            <w:vAlign w:val="center"/>
            <w:hideMark/>
          </w:tcPr>
          <w:p w14:paraId="702C9CFF" w14:textId="77777777" w:rsidR="002D5614" w:rsidRDefault="002D5614" w:rsidP="00205A7E">
            <w:pPr>
              <w:keepNext/>
              <w:keepLines/>
              <w:spacing w:after="0"/>
              <w:jc w:val="center"/>
              <w:rPr>
                <w:rFonts w:cs="Arial"/>
              </w:rPr>
            </w:pPr>
            <w:r>
              <w:rPr>
                <w:color w:val="000000"/>
                <w:sz w:val="18"/>
                <w:szCs w:val="18"/>
              </w:rPr>
              <w:t>2</w:t>
            </w:r>
          </w:p>
        </w:tc>
        <w:tc>
          <w:tcPr>
            <w:tcW w:w="1842" w:type="dxa"/>
            <w:gridSpan w:val="2"/>
            <w:tcBorders>
              <w:top w:val="single" w:sz="4" w:space="0" w:color="auto"/>
              <w:left w:val="double" w:sz="4" w:space="0" w:color="auto"/>
              <w:bottom w:val="double" w:sz="4" w:space="0" w:color="auto"/>
              <w:right w:val="double" w:sz="4" w:space="0" w:color="auto"/>
            </w:tcBorders>
            <w:vAlign w:val="center"/>
            <w:hideMark/>
          </w:tcPr>
          <w:p w14:paraId="7A8FE622" w14:textId="77777777" w:rsidR="002D5614" w:rsidRDefault="002D5614" w:rsidP="00205A7E">
            <w:pPr>
              <w:keepNext/>
              <w:keepLines/>
              <w:spacing w:after="0"/>
              <w:jc w:val="center"/>
              <w:rPr>
                <w:rFonts w:cs="Arial"/>
              </w:rPr>
            </w:pPr>
            <w:r>
              <w:rPr>
                <w:color w:val="000000"/>
                <w:sz w:val="18"/>
                <w:szCs w:val="18"/>
              </w:rPr>
              <w:t>2</w:t>
            </w:r>
          </w:p>
        </w:tc>
        <w:tc>
          <w:tcPr>
            <w:tcW w:w="1880" w:type="dxa"/>
            <w:gridSpan w:val="2"/>
            <w:tcBorders>
              <w:top w:val="single" w:sz="4" w:space="0" w:color="auto"/>
              <w:left w:val="double" w:sz="4" w:space="0" w:color="auto"/>
              <w:bottom w:val="double" w:sz="4" w:space="0" w:color="auto"/>
              <w:right w:val="double" w:sz="4" w:space="0" w:color="auto"/>
            </w:tcBorders>
            <w:shd w:val="clear" w:color="auto" w:fill="E2EFD9" w:themeFill="accent6" w:themeFillTint="33"/>
            <w:vAlign w:val="center"/>
            <w:hideMark/>
          </w:tcPr>
          <w:p w14:paraId="7D7C9E29" w14:textId="77777777" w:rsidR="002D5614" w:rsidRDefault="002D5614" w:rsidP="00205A7E">
            <w:pPr>
              <w:keepNext/>
              <w:keepLines/>
              <w:spacing w:after="0"/>
              <w:jc w:val="center"/>
              <w:rPr>
                <w:rFonts w:cs="Arial"/>
              </w:rPr>
            </w:pPr>
            <w:r>
              <w:rPr>
                <w:color w:val="000000"/>
                <w:sz w:val="18"/>
                <w:szCs w:val="18"/>
              </w:rPr>
              <w:t>2,1%</w:t>
            </w:r>
          </w:p>
        </w:tc>
        <w:tc>
          <w:tcPr>
            <w:tcW w:w="1932" w:type="dxa"/>
            <w:gridSpan w:val="2"/>
            <w:tcBorders>
              <w:top w:val="single" w:sz="4" w:space="0" w:color="auto"/>
              <w:left w:val="double" w:sz="4" w:space="0" w:color="auto"/>
              <w:bottom w:val="double" w:sz="4" w:space="0" w:color="auto"/>
              <w:right w:val="double" w:sz="4" w:space="0" w:color="auto"/>
            </w:tcBorders>
            <w:vAlign w:val="center"/>
            <w:hideMark/>
          </w:tcPr>
          <w:p w14:paraId="30CC75D2" w14:textId="77777777" w:rsidR="002D5614" w:rsidRPr="004D29C6" w:rsidRDefault="002D5614" w:rsidP="00205A7E">
            <w:pPr>
              <w:keepNext/>
              <w:keepLines/>
              <w:spacing w:after="0"/>
              <w:jc w:val="center"/>
              <w:rPr>
                <w:rFonts w:cs="Arial"/>
                <w:sz w:val="18"/>
                <w:szCs w:val="18"/>
              </w:rPr>
            </w:pPr>
            <w:r>
              <w:rPr>
                <w:rFonts w:cs="Arial"/>
                <w:sz w:val="18"/>
                <w:szCs w:val="18"/>
              </w:rPr>
              <w:t>N/A</w:t>
            </w:r>
          </w:p>
        </w:tc>
      </w:tr>
    </w:tbl>
    <w:p w14:paraId="17AB9F6E" w14:textId="77777777" w:rsidR="002D5614" w:rsidRDefault="002D5614" w:rsidP="002D5614"/>
    <w:p w14:paraId="2E0FEB65" w14:textId="77777777" w:rsidR="002D5614" w:rsidRDefault="002D5614" w:rsidP="002D5614">
      <w:r>
        <w:t>To allow large number of consecutive groups of PRBs to be allocated in the uplink, PUCCH and PRACH may be allocated near the edges of the LTE system bandwidth. Thus, in practice, it might be difficult to utilize the narrowbands closest to the edges of the LTE system bandwidth and allocating the BL/CE UE in a narrowband which is not directly adjacent to the resources used for PUCCH/PRACH may lead to a fragmentation of the spectrum. With a more flexible uplink resource allocation, the BL/CE UE may be allocated with resources adjacent to the PUCCH/PRACH resources and other PUSCH resource allocations, thus avoiding spectrum fragmentation.</w:t>
      </w:r>
    </w:p>
    <w:p w14:paraId="33C65084" w14:textId="77777777" w:rsidR="002D5614" w:rsidRDefault="002D5614" w:rsidP="002D5614">
      <w:pPr>
        <w:pStyle w:val="Heading2"/>
      </w:pPr>
      <w:r>
        <w:t>PDSCH resource allocation</w:t>
      </w:r>
    </w:p>
    <w:p w14:paraId="5A0BB516" w14:textId="625E1B6C" w:rsidR="002D5614" w:rsidRDefault="002D5614" w:rsidP="002D5614">
      <w:r w:rsidRPr="002E2CD2">
        <w:t xml:space="preserve">The </w:t>
      </w:r>
      <w:r>
        <w:t xml:space="preserve">Rel-14 resource allocation for PDSCH is described in section 7.1.6 of </w:t>
      </w:r>
      <w:r>
        <w:fldChar w:fldCharType="begin"/>
      </w:r>
      <w:r>
        <w:instrText xml:space="preserve"> REF _Ref505974664 \r \h </w:instrText>
      </w:r>
      <w:r>
        <w:fldChar w:fldCharType="separate"/>
      </w:r>
      <w:r w:rsidR="00725BFD">
        <w:t>[3]</w:t>
      </w:r>
      <w:r>
        <w:fldChar w:fldCharType="end"/>
      </w:r>
      <w:r>
        <w:t xml:space="preserve"> and is summarized in </w:t>
      </w:r>
      <w:r>
        <w:fldChar w:fldCharType="begin"/>
      </w:r>
      <w:r>
        <w:instrText xml:space="preserve"> REF _Ref505974721 \h </w:instrText>
      </w:r>
      <w:r>
        <w:fldChar w:fldCharType="separate"/>
      </w:r>
      <w:r w:rsidR="00725BFD">
        <w:t xml:space="preserve">Table </w:t>
      </w:r>
      <w:r w:rsidR="00725BFD">
        <w:rPr>
          <w:noProof/>
        </w:rPr>
        <w:t>5</w:t>
      </w:r>
      <w:r>
        <w:fldChar w:fldCharType="end"/>
      </w:r>
      <w:r>
        <w:t xml:space="preserve">. </w:t>
      </w:r>
    </w:p>
    <w:p w14:paraId="0E2F04BB" w14:textId="27CE7F5F" w:rsidR="002D5614" w:rsidRDefault="002D5614" w:rsidP="002D5614">
      <w:pPr>
        <w:pStyle w:val="Caption"/>
        <w:keepNext/>
      </w:pPr>
      <w:bookmarkStart w:id="242" w:name="_Ref505974721"/>
      <w:r>
        <w:lastRenderedPageBreak/>
        <w:t xml:space="preserve">Table </w:t>
      </w:r>
      <w:r w:rsidR="0092669D">
        <w:fldChar w:fldCharType="begin"/>
      </w:r>
      <w:r w:rsidR="0092669D">
        <w:instrText xml:space="preserve"> SEQ Table \* ARABIC </w:instrText>
      </w:r>
      <w:r w:rsidR="0092669D">
        <w:fldChar w:fldCharType="separate"/>
      </w:r>
      <w:r w:rsidR="00725BFD">
        <w:rPr>
          <w:noProof/>
        </w:rPr>
        <w:t>5</w:t>
      </w:r>
      <w:r w:rsidR="0092669D">
        <w:rPr>
          <w:noProof/>
        </w:rPr>
        <w:fldChar w:fldCharType="end"/>
      </w:r>
      <w:bookmarkEnd w:id="242"/>
      <w:r>
        <w:t>: Resource allocation for PDSCH</w:t>
      </w:r>
    </w:p>
    <w:tbl>
      <w:tblPr>
        <w:tblStyle w:val="TableGrid"/>
        <w:tblW w:w="9776" w:type="dxa"/>
        <w:tblBorders>
          <w:top w:val="double" w:sz="4" w:space="0" w:color="auto"/>
          <w:left w:val="double" w:sz="4" w:space="0" w:color="auto"/>
          <w:bottom w:val="double" w:sz="4" w:space="0" w:color="auto"/>
          <w:right w:val="double" w:sz="4" w:space="0" w:color="auto"/>
          <w:insideV w:val="double" w:sz="4" w:space="0" w:color="auto"/>
        </w:tblBorders>
        <w:tblLook w:val="04A0" w:firstRow="1" w:lastRow="0" w:firstColumn="1" w:lastColumn="0" w:noHBand="0" w:noVBand="1"/>
      </w:tblPr>
      <w:tblGrid>
        <w:gridCol w:w="1129"/>
        <w:gridCol w:w="2882"/>
        <w:gridCol w:w="2882"/>
        <w:gridCol w:w="2883"/>
      </w:tblGrid>
      <w:tr w:rsidR="002D5614" w14:paraId="41745BDE" w14:textId="77777777" w:rsidTr="00205A7E">
        <w:trPr>
          <w:trHeight w:val="148"/>
        </w:trPr>
        <w:tc>
          <w:tcPr>
            <w:tcW w:w="1129" w:type="dxa"/>
            <w:shd w:val="clear" w:color="auto" w:fill="D5DCE4" w:themeFill="text2" w:themeFillTint="33"/>
          </w:tcPr>
          <w:p w14:paraId="3CD53773" w14:textId="77777777" w:rsidR="002D5614" w:rsidRPr="00175FFC" w:rsidRDefault="002D5614" w:rsidP="00205A7E">
            <w:pPr>
              <w:keepNext/>
              <w:keepLines/>
              <w:spacing w:after="0"/>
              <w:rPr>
                <w:b/>
                <w:sz w:val="20"/>
              </w:rPr>
            </w:pPr>
          </w:p>
        </w:tc>
        <w:tc>
          <w:tcPr>
            <w:tcW w:w="2882" w:type="dxa"/>
            <w:shd w:val="clear" w:color="auto" w:fill="D5DCE4" w:themeFill="text2" w:themeFillTint="33"/>
          </w:tcPr>
          <w:p w14:paraId="5ABD157C" w14:textId="77777777" w:rsidR="002D5614" w:rsidRPr="00175FFC" w:rsidRDefault="002D5614" w:rsidP="00205A7E">
            <w:pPr>
              <w:keepNext/>
              <w:keepLines/>
              <w:spacing w:after="0"/>
              <w:jc w:val="center"/>
              <w:rPr>
                <w:b/>
                <w:sz w:val="20"/>
              </w:rPr>
            </w:pPr>
            <w:r w:rsidRPr="00175FFC">
              <w:rPr>
                <w:b/>
                <w:sz w:val="20"/>
              </w:rPr>
              <w:t>1.4 MHz BL/CE UE</w:t>
            </w:r>
          </w:p>
        </w:tc>
        <w:tc>
          <w:tcPr>
            <w:tcW w:w="2882" w:type="dxa"/>
            <w:shd w:val="clear" w:color="auto" w:fill="D5DCE4" w:themeFill="text2" w:themeFillTint="33"/>
          </w:tcPr>
          <w:p w14:paraId="22EE26AB" w14:textId="77777777" w:rsidR="002D5614" w:rsidRPr="00175FFC" w:rsidRDefault="002D5614" w:rsidP="00205A7E">
            <w:pPr>
              <w:keepNext/>
              <w:keepLines/>
              <w:spacing w:after="0"/>
              <w:jc w:val="center"/>
              <w:rPr>
                <w:b/>
                <w:sz w:val="20"/>
              </w:rPr>
            </w:pPr>
            <w:r>
              <w:rPr>
                <w:b/>
                <w:sz w:val="20"/>
              </w:rPr>
              <w:t xml:space="preserve">5 MHz BL/CE </w:t>
            </w:r>
            <w:r w:rsidRPr="00175FFC">
              <w:rPr>
                <w:b/>
                <w:sz w:val="20"/>
              </w:rPr>
              <w:t>UE</w:t>
            </w:r>
          </w:p>
        </w:tc>
        <w:tc>
          <w:tcPr>
            <w:tcW w:w="2883" w:type="dxa"/>
            <w:shd w:val="clear" w:color="auto" w:fill="D5DCE4" w:themeFill="text2" w:themeFillTint="33"/>
          </w:tcPr>
          <w:p w14:paraId="254E21D3" w14:textId="77777777" w:rsidR="002D5614" w:rsidRPr="00175FFC" w:rsidRDefault="002D5614" w:rsidP="00205A7E">
            <w:pPr>
              <w:keepNext/>
              <w:keepLines/>
              <w:spacing w:after="0"/>
              <w:jc w:val="center"/>
              <w:rPr>
                <w:b/>
                <w:sz w:val="20"/>
              </w:rPr>
            </w:pPr>
            <w:r w:rsidRPr="00175FFC">
              <w:rPr>
                <w:b/>
                <w:sz w:val="20"/>
              </w:rPr>
              <w:t>20 MHz BL/CE UE</w:t>
            </w:r>
          </w:p>
        </w:tc>
      </w:tr>
      <w:tr w:rsidR="002D5614" w14:paraId="15C0A0F1" w14:textId="77777777" w:rsidTr="00205A7E">
        <w:tc>
          <w:tcPr>
            <w:tcW w:w="1129" w:type="dxa"/>
            <w:shd w:val="clear" w:color="auto" w:fill="D5DCE4" w:themeFill="text2" w:themeFillTint="33"/>
          </w:tcPr>
          <w:p w14:paraId="27F520AD" w14:textId="77777777" w:rsidR="002D5614" w:rsidRPr="008723C5" w:rsidRDefault="002D5614" w:rsidP="00205A7E">
            <w:pPr>
              <w:keepNext/>
              <w:keepLines/>
              <w:spacing w:after="0"/>
              <w:rPr>
                <w:sz w:val="20"/>
              </w:rPr>
            </w:pPr>
            <w:r w:rsidRPr="008723C5">
              <w:rPr>
                <w:sz w:val="20"/>
              </w:rPr>
              <w:t>CE mode A</w:t>
            </w:r>
            <w:r>
              <w:rPr>
                <w:sz w:val="20"/>
              </w:rPr>
              <w:t xml:space="preserve"> DCI format 6-1A</w:t>
            </w:r>
          </w:p>
        </w:tc>
        <w:tc>
          <w:tcPr>
            <w:tcW w:w="2882" w:type="dxa"/>
          </w:tcPr>
          <w:p w14:paraId="01F35C33" w14:textId="77777777" w:rsidR="002D5614" w:rsidRDefault="002D5614" w:rsidP="00205A7E">
            <w:pPr>
              <w:keepNext/>
              <w:keepLines/>
              <w:spacing w:after="0"/>
              <w:rPr>
                <w:sz w:val="20"/>
              </w:rPr>
            </w:pPr>
            <w:r w:rsidRPr="00F62243">
              <w:rPr>
                <w:b/>
                <w:sz w:val="20"/>
              </w:rPr>
              <w:t>Resource allocation</w:t>
            </w:r>
            <w:r>
              <w:rPr>
                <w:sz w:val="20"/>
              </w:rPr>
              <w:t xml:space="preserve"> </w:t>
            </w:r>
            <w:r w:rsidRPr="008539B4">
              <w:rPr>
                <w:b/>
                <w:sz w:val="20"/>
              </w:rPr>
              <w:t>type 2</w:t>
            </w:r>
            <w:r>
              <w:rPr>
                <w:sz w:val="20"/>
              </w:rPr>
              <w:t xml:space="preserve"> with resource block assignment field composed of:</w:t>
            </w:r>
          </w:p>
          <w:p w14:paraId="7024D1B6" w14:textId="77777777" w:rsidR="002D5614" w:rsidRDefault="002D5614" w:rsidP="00205A7E">
            <w:pPr>
              <w:pStyle w:val="ListParagraph"/>
              <w:keepNext/>
              <w:keepLines/>
              <w:numPr>
                <w:ilvl w:val="0"/>
                <w:numId w:val="24"/>
              </w:numPr>
              <w:spacing w:after="0"/>
              <w:ind w:left="357" w:hanging="357"/>
              <w:rPr>
                <w:sz w:val="20"/>
              </w:rPr>
            </w:pPr>
            <w:r>
              <w:rPr>
                <w:sz w:val="20"/>
              </w:rPr>
              <w:t>Narrowband index</w:t>
            </w:r>
          </w:p>
          <w:p w14:paraId="4F8E345F" w14:textId="77777777" w:rsidR="002D5614" w:rsidRPr="00CD1FD1" w:rsidRDefault="002D5614" w:rsidP="00205A7E">
            <w:pPr>
              <w:pStyle w:val="ListParagraph"/>
              <w:keepNext/>
              <w:keepLines/>
              <w:numPr>
                <w:ilvl w:val="0"/>
                <w:numId w:val="24"/>
              </w:numPr>
              <w:spacing w:after="0"/>
              <w:ind w:left="357" w:hanging="357"/>
              <w:rPr>
                <w:sz w:val="20"/>
              </w:rPr>
            </w:pPr>
            <w:r>
              <w:rPr>
                <w:sz w:val="20"/>
              </w:rPr>
              <w:t>R</w:t>
            </w:r>
            <w:r w:rsidRPr="00CD1FD1">
              <w:rPr>
                <w:sz w:val="20"/>
              </w:rPr>
              <w:t>esource indication value (</w:t>
            </w:r>
            <w:r w:rsidRPr="004C336C">
              <w:rPr>
                <w:b/>
                <w:sz w:val="20"/>
              </w:rPr>
              <w:t>RIV</w:t>
            </w:r>
            <w:r w:rsidRPr="00CD1FD1">
              <w:rPr>
                <w:sz w:val="20"/>
              </w:rPr>
              <w:t>)</w:t>
            </w:r>
            <w:r>
              <w:rPr>
                <w:sz w:val="20"/>
              </w:rPr>
              <w:t xml:space="preserve"> corresponding to a starting PRB and number of contiguously allocated PRBs within the narrowband </w:t>
            </w:r>
          </w:p>
        </w:tc>
        <w:tc>
          <w:tcPr>
            <w:tcW w:w="2882" w:type="dxa"/>
          </w:tcPr>
          <w:p w14:paraId="1D7BF7A8" w14:textId="77777777" w:rsidR="002D5614" w:rsidRDefault="002D5614" w:rsidP="00205A7E">
            <w:pPr>
              <w:keepNext/>
              <w:keepLines/>
              <w:spacing w:after="0"/>
              <w:rPr>
                <w:sz w:val="20"/>
              </w:rPr>
            </w:pPr>
            <w:r w:rsidRPr="00F62243">
              <w:rPr>
                <w:b/>
                <w:sz w:val="20"/>
              </w:rPr>
              <w:t>Resource allocation type 2</w:t>
            </w:r>
            <w:r>
              <w:rPr>
                <w:sz w:val="20"/>
              </w:rPr>
              <w:t xml:space="preserve"> with resource block assignment field composed of:</w:t>
            </w:r>
          </w:p>
          <w:p w14:paraId="37D8A506" w14:textId="77777777" w:rsidR="002D5614" w:rsidRDefault="002D5614" w:rsidP="00205A7E">
            <w:pPr>
              <w:pStyle w:val="ListParagraph"/>
              <w:keepNext/>
              <w:keepLines/>
              <w:numPr>
                <w:ilvl w:val="0"/>
                <w:numId w:val="24"/>
              </w:numPr>
              <w:spacing w:after="0"/>
              <w:ind w:left="357" w:hanging="357"/>
              <w:rPr>
                <w:sz w:val="20"/>
              </w:rPr>
            </w:pPr>
            <w:r>
              <w:rPr>
                <w:sz w:val="20"/>
              </w:rPr>
              <w:t>Narrowband index</w:t>
            </w:r>
          </w:p>
          <w:p w14:paraId="0D3FAB7A" w14:textId="77777777" w:rsidR="002D5614" w:rsidRDefault="002D5614" w:rsidP="00205A7E">
            <w:pPr>
              <w:pStyle w:val="ListParagraph"/>
              <w:keepNext/>
              <w:keepLines/>
              <w:numPr>
                <w:ilvl w:val="0"/>
                <w:numId w:val="24"/>
              </w:numPr>
              <w:spacing w:after="0"/>
              <w:ind w:left="357" w:hanging="357"/>
              <w:rPr>
                <w:sz w:val="20"/>
              </w:rPr>
            </w:pPr>
            <w:r>
              <w:rPr>
                <w:sz w:val="20"/>
              </w:rPr>
              <w:t>Additional consecutively allocated narrowbands</w:t>
            </w:r>
          </w:p>
          <w:p w14:paraId="5EA2280F" w14:textId="77777777" w:rsidR="002D5614" w:rsidRPr="00A12B59" w:rsidRDefault="002D5614" w:rsidP="00205A7E">
            <w:pPr>
              <w:pStyle w:val="ListParagraph"/>
              <w:keepNext/>
              <w:keepLines/>
              <w:numPr>
                <w:ilvl w:val="0"/>
                <w:numId w:val="24"/>
              </w:numPr>
              <w:spacing w:after="0"/>
              <w:ind w:left="357" w:hanging="357"/>
              <w:rPr>
                <w:sz w:val="20"/>
              </w:rPr>
            </w:pPr>
            <w:r w:rsidRPr="004C336C">
              <w:rPr>
                <w:b/>
                <w:sz w:val="20"/>
              </w:rPr>
              <w:t>RIV</w:t>
            </w:r>
            <w:r>
              <w:rPr>
                <w:sz w:val="20"/>
              </w:rPr>
              <w:t xml:space="preserve"> corresponding to a starting PRB and number of contiguously allocated PRBs within each allocated narrowband</w:t>
            </w:r>
          </w:p>
        </w:tc>
        <w:tc>
          <w:tcPr>
            <w:tcW w:w="2883" w:type="dxa"/>
          </w:tcPr>
          <w:p w14:paraId="0DE79EE5" w14:textId="77777777" w:rsidR="002D5614" w:rsidRDefault="002D5614" w:rsidP="00205A7E">
            <w:pPr>
              <w:keepNext/>
              <w:keepLines/>
              <w:spacing w:after="0"/>
              <w:rPr>
                <w:sz w:val="20"/>
              </w:rPr>
            </w:pPr>
            <w:r w:rsidRPr="000B0646">
              <w:rPr>
                <w:sz w:val="20"/>
              </w:rPr>
              <w:t xml:space="preserve">Either </w:t>
            </w:r>
            <w:r>
              <w:rPr>
                <w:sz w:val="20"/>
              </w:rPr>
              <w:t>of:</w:t>
            </w:r>
          </w:p>
          <w:p w14:paraId="09C769B2" w14:textId="77777777" w:rsidR="002D5614" w:rsidRPr="0090340F" w:rsidRDefault="002D5614" w:rsidP="00205A7E">
            <w:pPr>
              <w:keepNext/>
              <w:keepLines/>
              <w:spacing w:after="0"/>
              <w:rPr>
                <w:sz w:val="20"/>
              </w:rPr>
            </w:pPr>
            <w:r w:rsidRPr="00F62243">
              <w:rPr>
                <w:b/>
                <w:sz w:val="20"/>
              </w:rPr>
              <w:t>Resource allocation type 0</w:t>
            </w:r>
            <w:r w:rsidRPr="000B0646">
              <w:rPr>
                <w:sz w:val="20"/>
              </w:rPr>
              <w:t xml:space="preserve"> with resource </w:t>
            </w:r>
            <w:r>
              <w:rPr>
                <w:sz w:val="20"/>
              </w:rPr>
              <w:t>block assignment</w:t>
            </w:r>
            <w:r w:rsidRPr="000B0646">
              <w:rPr>
                <w:sz w:val="20"/>
              </w:rPr>
              <w:t xml:space="preserve"> field composed of</w:t>
            </w:r>
            <w:r w:rsidRPr="0090340F">
              <w:rPr>
                <w:sz w:val="20"/>
              </w:rPr>
              <w:t xml:space="preserve"> </w:t>
            </w:r>
          </w:p>
          <w:p w14:paraId="422E9579" w14:textId="77777777" w:rsidR="002D5614" w:rsidRDefault="002D5614" w:rsidP="00205A7E">
            <w:pPr>
              <w:pStyle w:val="ListParagraph"/>
              <w:keepNext/>
              <w:keepLines/>
              <w:numPr>
                <w:ilvl w:val="0"/>
                <w:numId w:val="24"/>
              </w:numPr>
              <w:spacing w:after="0"/>
              <w:ind w:left="357" w:hanging="357"/>
              <w:rPr>
                <w:sz w:val="20"/>
              </w:rPr>
            </w:pPr>
            <w:r>
              <w:rPr>
                <w:sz w:val="20"/>
              </w:rPr>
              <w:t xml:space="preserve">Bitmap of allocated BL/CE UE resource block groups of 6 contiguous PRBs for system BW less than 20 MHz and 9 PRBs for system BW equal to 20 MHz  </w:t>
            </w:r>
          </w:p>
          <w:p w14:paraId="10292B8F" w14:textId="77777777" w:rsidR="002D5614" w:rsidRDefault="002D5614" w:rsidP="00205A7E">
            <w:pPr>
              <w:keepNext/>
              <w:keepLines/>
              <w:spacing w:after="0"/>
              <w:rPr>
                <w:sz w:val="20"/>
              </w:rPr>
            </w:pPr>
            <w:r w:rsidRPr="00F62243">
              <w:rPr>
                <w:b/>
                <w:sz w:val="20"/>
              </w:rPr>
              <w:t>Resource allocation type</w:t>
            </w:r>
            <w:r w:rsidRPr="008539B4">
              <w:rPr>
                <w:b/>
                <w:sz w:val="20"/>
              </w:rPr>
              <w:t xml:space="preserve"> 2</w:t>
            </w:r>
            <w:r>
              <w:rPr>
                <w:sz w:val="20"/>
              </w:rPr>
              <w:t xml:space="preserve"> with resource assignment field composed of:</w:t>
            </w:r>
          </w:p>
          <w:p w14:paraId="1678D64F" w14:textId="77777777" w:rsidR="002D5614" w:rsidRDefault="002D5614" w:rsidP="00205A7E">
            <w:pPr>
              <w:pStyle w:val="ListParagraph"/>
              <w:keepNext/>
              <w:keepLines/>
              <w:numPr>
                <w:ilvl w:val="0"/>
                <w:numId w:val="24"/>
              </w:numPr>
              <w:spacing w:after="0"/>
              <w:ind w:left="357" w:hanging="357"/>
              <w:rPr>
                <w:sz w:val="20"/>
              </w:rPr>
            </w:pPr>
            <w:r>
              <w:rPr>
                <w:sz w:val="20"/>
              </w:rPr>
              <w:t>Narrowband index</w:t>
            </w:r>
          </w:p>
          <w:p w14:paraId="34C24182" w14:textId="77777777" w:rsidR="002D5614" w:rsidRDefault="002D5614" w:rsidP="00205A7E">
            <w:pPr>
              <w:pStyle w:val="ListParagraph"/>
              <w:keepNext/>
              <w:keepLines/>
              <w:numPr>
                <w:ilvl w:val="0"/>
                <w:numId w:val="24"/>
              </w:numPr>
              <w:spacing w:after="0"/>
              <w:ind w:left="357" w:hanging="357"/>
              <w:rPr>
                <w:sz w:val="20"/>
              </w:rPr>
            </w:pPr>
            <w:r>
              <w:rPr>
                <w:sz w:val="20"/>
              </w:rPr>
              <w:t>Additional consecutively allocated narrowbands</w:t>
            </w:r>
          </w:p>
          <w:p w14:paraId="1B57E388" w14:textId="77777777" w:rsidR="002D5614" w:rsidRPr="008723C5" w:rsidRDefault="002D5614" w:rsidP="00205A7E">
            <w:pPr>
              <w:pStyle w:val="ListParagraph"/>
              <w:keepNext/>
              <w:keepLines/>
              <w:numPr>
                <w:ilvl w:val="0"/>
                <w:numId w:val="24"/>
              </w:numPr>
              <w:spacing w:after="0"/>
              <w:ind w:left="357" w:hanging="357"/>
              <w:rPr>
                <w:sz w:val="20"/>
              </w:rPr>
            </w:pPr>
            <w:r w:rsidRPr="004C336C">
              <w:rPr>
                <w:b/>
                <w:sz w:val="20"/>
              </w:rPr>
              <w:t>RIV</w:t>
            </w:r>
            <w:r>
              <w:rPr>
                <w:sz w:val="20"/>
              </w:rPr>
              <w:t xml:space="preserve"> corresponding to a starting PRB and number of contiguously allocated PRBs within each allocated narrowband</w:t>
            </w:r>
          </w:p>
        </w:tc>
      </w:tr>
      <w:tr w:rsidR="002D5614" w14:paraId="244B332B" w14:textId="77777777" w:rsidTr="00205A7E">
        <w:tc>
          <w:tcPr>
            <w:tcW w:w="1129" w:type="dxa"/>
            <w:shd w:val="clear" w:color="auto" w:fill="D5DCE4" w:themeFill="text2" w:themeFillTint="33"/>
          </w:tcPr>
          <w:p w14:paraId="19EAEA6F" w14:textId="77777777" w:rsidR="002D5614" w:rsidRPr="008723C5" w:rsidRDefault="002D5614" w:rsidP="00205A7E">
            <w:pPr>
              <w:keepNext/>
              <w:keepLines/>
              <w:spacing w:after="0"/>
              <w:rPr>
                <w:sz w:val="20"/>
              </w:rPr>
            </w:pPr>
            <w:r w:rsidRPr="008723C5">
              <w:rPr>
                <w:sz w:val="20"/>
              </w:rPr>
              <w:t>CE mode B</w:t>
            </w:r>
            <w:r>
              <w:rPr>
                <w:sz w:val="20"/>
              </w:rPr>
              <w:t xml:space="preserve"> DCI format 6-1B</w:t>
            </w:r>
          </w:p>
        </w:tc>
        <w:tc>
          <w:tcPr>
            <w:tcW w:w="2882" w:type="dxa"/>
          </w:tcPr>
          <w:p w14:paraId="64307698" w14:textId="77777777" w:rsidR="002D5614" w:rsidRPr="00E5485D" w:rsidRDefault="002D5614" w:rsidP="00205A7E">
            <w:pPr>
              <w:keepNext/>
              <w:keepLines/>
              <w:spacing w:after="0"/>
              <w:rPr>
                <w:sz w:val="20"/>
              </w:rPr>
            </w:pPr>
            <w:r>
              <w:rPr>
                <w:sz w:val="20"/>
              </w:rPr>
              <w:t xml:space="preserve">A resource block assignment field </w:t>
            </w:r>
            <w:r w:rsidRPr="00E5485D">
              <w:rPr>
                <w:sz w:val="20"/>
              </w:rPr>
              <w:t>composed of:</w:t>
            </w:r>
          </w:p>
          <w:p w14:paraId="32428FFE" w14:textId="77777777" w:rsidR="002D5614" w:rsidRDefault="002D5614" w:rsidP="00205A7E">
            <w:pPr>
              <w:pStyle w:val="ListParagraph"/>
              <w:keepNext/>
              <w:keepLines/>
              <w:numPr>
                <w:ilvl w:val="0"/>
                <w:numId w:val="24"/>
              </w:numPr>
              <w:spacing w:after="0"/>
              <w:ind w:left="357" w:hanging="357"/>
              <w:rPr>
                <w:sz w:val="20"/>
              </w:rPr>
            </w:pPr>
            <w:r w:rsidRPr="00E5485D">
              <w:rPr>
                <w:sz w:val="20"/>
              </w:rPr>
              <w:t>Narrowband index</w:t>
            </w:r>
          </w:p>
          <w:p w14:paraId="3E9AD6E5" w14:textId="77777777" w:rsidR="002D5614" w:rsidRPr="008F5F25" w:rsidRDefault="002D5614" w:rsidP="00205A7E">
            <w:pPr>
              <w:pStyle w:val="ListParagraph"/>
              <w:keepNext/>
              <w:keepLines/>
              <w:numPr>
                <w:ilvl w:val="0"/>
                <w:numId w:val="24"/>
              </w:numPr>
              <w:spacing w:after="0"/>
              <w:ind w:left="357" w:hanging="357"/>
              <w:rPr>
                <w:sz w:val="20"/>
              </w:rPr>
            </w:pPr>
            <w:r w:rsidRPr="008F5F25">
              <w:rPr>
                <w:rFonts w:cs="Times New Roman"/>
                <w:sz w:val="20"/>
                <w:szCs w:val="20"/>
                <w:lang w:eastAsia="zh-CN"/>
              </w:rPr>
              <w:t>Indication if RBs with PRB index {0, 1, 2, 3} or all 6 PRBs in the narrowband is allocated</w:t>
            </w:r>
          </w:p>
        </w:tc>
        <w:tc>
          <w:tcPr>
            <w:tcW w:w="2882" w:type="dxa"/>
          </w:tcPr>
          <w:p w14:paraId="5532DDF1" w14:textId="77777777" w:rsidR="002D5614" w:rsidRDefault="002D5614" w:rsidP="00205A7E">
            <w:pPr>
              <w:keepNext/>
              <w:keepLines/>
              <w:spacing w:after="0"/>
              <w:rPr>
                <w:sz w:val="20"/>
              </w:rPr>
            </w:pPr>
            <w:r>
              <w:rPr>
                <w:sz w:val="20"/>
              </w:rPr>
              <w:t xml:space="preserve">A resource block assignment field composed of: a bitmap of: </w:t>
            </w:r>
          </w:p>
          <w:p w14:paraId="1B793CB9" w14:textId="77777777" w:rsidR="002D5614" w:rsidRDefault="002D5614" w:rsidP="00205A7E">
            <w:pPr>
              <w:pStyle w:val="ListParagraph"/>
              <w:keepNext/>
              <w:keepLines/>
              <w:numPr>
                <w:ilvl w:val="0"/>
                <w:numId w:val="24"/>
              </w:numPr>
              <w:spacing w:after="0"/>
              <w:ind w:left="357" w:hanging="357"/>
              <w:rPr>
                <w:sz w:val="20"/>
              </w:rPr>
            </w:pPr>
            <w:r>
              <w:rPr>
                <w:sz w:val="20"/>
              </w:rPr>
              <w:t>Wideband index (four consecutive narrowbands, non-overlapping between widebands)</w:t>
            </w:r>
          </w:p>
          <w:p w14:paraId="151B3457" w14:textId="77777777" w:rsidR="002D5614" w:rsidRPr="004C1EF3" w:rsidRDefault="002D5614" w:rsidP="00205A7E">
            <w:pPr>
              <w:pStyle w:val="ListParagraph"/>
              <w:keepNext/>
              <w:keepLines/>
              <w:numPr>
                <w:ilvl w:val="0"/>
                <w:numId w:val="24"/>
              </w:numPr>
              <w:spacing w:after="0"/>
              <w:ind w:left="357" w:hanging="357"/>
              <w:rPr>
                <w:sz w:val="20"/>
              </w:rPr>
            </w:pPr>
            <w:r>
              <w:rPr>
                <w:sz w:val="20"/>
              </w:rPr>
              <w:t>Bitmap of the allocated narrowbands (all 6 PRBs) within the wideband</w:t>
            </w:r>
          </w:p>
        </w:tc>
        <w:tc>
          <w:tcPr>
            <w:tcW w:w="2883" w:type="dxa"/>
          </w:tcPr>
          <w:p w14:paraId="4FB3AABF" w14:textId="77777777" w:rsidR="002D5614" w:rsidRDefault="002D5614" w:rsidP="00205A7E">
            <w:pPr>
              <w:keepNext/>
              <w:keepLines/>
              <w:spacing w:after="0"/>
              <w:rPr>
                <w:sz w:val="20"/>
              </w:rPr>
            </w:pPr>
            <w:r>
              <w:rPr>
                <w:sz w:val="20"/>
              </w:rPr>
              <w:t>A resource block assignment field composed of:</w:t>
            </w:r>
          </w:p>
          <w:p w14:paraId="3AAA439E" w14:textId="77777777" w:rsidR="002D5614" w:rsidRDefault="002D5614" w:rsidP="00205A7E">
            <w:pPr>
              <w:pStyle w:val="ListParagraph"/>
              <w:keepNext/>
              <w:keepLines/>
              <w:numPr>
                <w:ilvl w:val="0"/>
                <w:numId w:val="24"/>
              </w:numPr>
              <w:spacing w:after="0"/>
              <w:ind w:left="357" w:hanging="357"/>
              <w:rPr>
                <w:sz w:val="20"/>
              </w:rPr>
            </w:pPr>
            <w:r>
              <w:rPr>
                <w:sz w:val="20"/>
              </w:rPr>
              <w:t>Wideband combination index</w:t>
            </w:r>
          </w:p>
          <w:p w14:paraId="30F0E342" w14:textId="77777777" w:rsidR="002D5614" w:rsidRPr="004F3DE4" w:rsidRDefault="002D5614" w:rsidP="00205A7E">
            <w:pPr>
              <w:pStyle w:val="ListParagraph"/>
              <w:keepNext/>
              <w:keepLines/>
              <w:numPr>
                <w:ilvl w:val="0"/>
                <w:numId w:val="24"/>
              </w:numPr>
              <w:spacing w:after="0"/>
              <w:ind w:left="357" w:hanging="357"/>
              <w:rPr>
                <w:sz w:val="20"/>
              </w:rPr>
            </w:pPr>
            <w:r w:rsidRPr="004F3DE4">
              <w:rPr>
                <w:sz w:val="20"/>
              </w:rPr>
              <w:t>Bitmap of the allocated narrowbands (all 6 PRBs)</w:t>
            </w:r>
            <w:r>
              <w:rPr>
                <w:sz w:val="20"/>
              </w:rPr>
              <w:t xml:space="preserve"> within each allocated</w:t>
            </w:r>
            <w:r w:rsidRPr="004F3DE4">
              <w:rPr>
                <w:sz w:val="20"/>
              </w:rPr>
              <w:t xml:space="preserve"> wideband</w:t>
            </w:r>
          </w:p>
        </w:tc>
      </w:tr>
    </w:tbl>
    <w:p w14:paraId="73F6CA71" w14:textId="77777777" w:rsidR="002D5614" w:rsidRDefault="002D5614" w:rsidP="002D5614"/>
    <w:p w14:paraId="5DC13860" w14:textId="4741D662" w:rsidR="002D5614" w:rsidRDefault="002D5614" w:rsidP="002D5614">
      <w:r>
        <w:t xml:space="preserve">The design of the resource indication value (RIV) within a narrowband for the CE mode A PDSCH resource allocations in </w:t>
      </w:r>
      <w:r>
        <w:fldChar w:fldCharType="begin"/>
      </w:r>
      <w:r>
        <w:instrText xml:space="preserve"> REF _Ref505974721 \h </w:instrText>
      </w:r>
      <w:r>
        <w:fldChar w:fldCharType="separate"/>
      </w:r>
      <w:r w:rsidR="00725BFD">
        <w:t xml:space="preserve">Table </w:t>
      </w:r>
      <w:r w:rsidR="00725BFD">
        <w:rPr>
          <w:noProof/>
        </w:rPr>
        <w:t>5</w:t>
      </w:r>
      <w:r>
        <w:fldChar w:fldCharType="end"/>
      </w:r>
      <w:r>
        <w:t xml:space="preserve"> is shown in </w:t>
      </w:r>
      <w:r>
        <w:fldChar w:fldCharType="begin"/>
      </w:r>
      <w:r>
        <w:instrText xml:space="preserve"> REF _Ref505980787 \h </w:instrText>
      </w:r>
      <w:r>
        <w:fldChar w:fldCharType="separate"/>
      </w:r>
      <w:r w:rsidR="00725BFD">
        <w:t xml:space="preserve">Figure </w:t>
      </w:r>
      <w:r w:rsidR="00725BFD">
        <w:rPr>
          <w:noProof/>
        </w:rPr>
        <w:t>6</w:t>
      </w:r>
      <w:r>
        <w:fldChar w:fldCharType="end"/>
      </w:r>
      <w:r>
        <w:t xml:space="preserve">. The resource allocation for CE mode B is shown in </w:t>
      </w:r>
      <w:r>
        <w:fldChar w:fldCharType="begin"/>
      </w:r>
      <w:r>
        <w:instrText xml:space="preserve"> REF _Ref506291664 \h </w:instrText>
      </w:r>
      <w:r>
        <w:fldChar w:fldCharType="separate"/>
      </w:r>
      <w:r w:rsidR="00725BFD">
        <w:t xml:space="preserve">Figure </w:t>
      </w:r>
      <w:r w:rsidR="00725BFD">
        <w:rPr>
          <w:noProof/>
        </w:rPr>
        <w:t>7</w:t>
      </w:r>
      <w:r>
        <w:fldChar w:fldCharType="end"/>
      </w:r>
      <w:r>
        <w:t>.</w:t>
      </w:r>
    </w:p>
    <w:p w14:paraId="589CA74C" w14:textId="77777777" w:rsidR="002D5614" w:rsidRPr="002E2CD2" w:rsidRDefault="002D5614" w:rsidP="002D5614"/>
    <w:p w14:paraId="0CCAE215" w14:textId="77777777" w:rsidR="002D5614" w:rsidRDefault="002D5614" w:rsidP="002D5614">
      <w:pPr>
        <w:keepNext/>
        <w:jc w:val="center"/>
      </w:pPr>
      <w:r>
        <w:rPr>
          <w:noProof/>
        </w:rPr>
        <w:lastRenderedPageBreak/>
        <w:drawing>
          <wp:inline distT="0" distB="0" distL="0" distR="0" wp14:anchorId="598F8905" wp14:editId="72887162">
            <wp:extent cx="2257425" cy="2476500"/>
            <wp:effectExtent l="0" t="0" r="9525" b="0"/>
            <wp:docPr id="5" name="Picture 5" descr="C:\Users\erauae\Desktop\Studies\STAR\Flexible starting PRB\RI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2" descr="C:\Users\erauae\Desktop\Studies\STAR\Flexible starting PRB\RIV.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57425" cy="2476500"/>
                    </a:xfrm>
                    <a:prstGeom prst="rect">
                      <a:avLst/>
                    </a:prstGeom>
                    <a:noFill/>
                    <a:ln>
                      <a:noFill/>
                    </a:ln>
                  </pic:spPr>
                </pic:pic>
              </a:graphicData>
            </a:graphic>
          </wp:inline>
        </w:drawing>
      </w:r>
    </w:p>
    <w:p w14:paraId="5E500071" w14:textId="6473AC63" w:rsidR="002D5614" w:rsidRDefault="002D5614" w:rsidP="002D5614">
      <w:pPr>
        <w:pStyle w:val="Caption"/>
      </w:pPr>
      <w:bookmarkStart w:id="243" w:name="_Ref505980787"/>
      <w:bookmarkStart w:id="244" w:name="_Ref505980777"/>
      <w:r>
        <w:t xml:space="preserve">Figure </w:t>
      </w:r>
      <w:r w:rsidR="0092669D">
        <w:fldChar w:fldCharType="begin"/>
      </w:r>
      <w:r w:rsidR="0092669D">
        <w:instrText xml:space="preserve"> SEQ Figure \* ARABIC </w:instrText>
      </w:r>
      <w:r w:rsidR="0092669D">
        <w:fldChar w:fldCharType="separate"/>
      </w:r>
      <w:r w:rsidR="00725BFD">
        <w:rPr>
          <w:noProof/>
        </w:rPr>
        <w:t>6</w:t>
      </w:r>
      <w:r w:rsidR="0092669D">
        <w:rPr>
          <w:noProof/>
        </w:rPr>
        <w:fldChar w:fldCharType="end"/>
      </w:r>
      <w:bookmarkEnd w:id="243"/>
      <w:r>
        <w:t>: PDSCH and PUSCH resource block assignment within a narrowband using resource indication value (RIV).</w:t>
      </w:r>
      <w:bookmarkEnd w:id="244"/>
    </w:p>
    <w:p w14:paraId="3E2DCD76" w14:textId="77777777" w:rsidR="002D5614" w:rsidRDefault="002D5614" w:rsidP="002D5614">
      <w:pPr>
        <w:keepNext/>
        <w:jc w:val="center"/>
      </w:pPr>
      <w:r>
        <w:rPr>
          <w:noProof/>
        </w:rPr>
        <w:drawing>
          <wp:inline distT="0" distB="0" distL="0" distR="0" wp14:anchorId="7772C45E" wp14:editId="08E44F73">
            <wp:extent cx="2257425" cy="857250"/>
            <wp:effectExtent l="0" t="0" r="9525" b="0"/>
            <wp:docPr id="4" name="Picture 4" descr="C:\Users\erauae\Desktop\Studies\STAR\Flexible starting PRB\PDSCH CE mode B 1.4MH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C:\Users\erauae\Desktop\Studies\STAR\Flexible starting PRB\PDSCH CE mode B 1.4MHz.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57425" cy="857250"/>
                    </a:xfrm>
                    <a:prstGeom prst="rect">
                      <a:avLst/>
                    </a:prstGeom>
                    <a:noFill/>
                    <a:ln>
                      <a:noFill/>
                    </a:ln>
                  </pic:spPr>
                </pic:pic>
              </a:graphicData>
            </a:graphic>
          </wp:inline>
        </w:drawing>
      </w:r>
    </w:p>
    <w:p w14:paraId="7E2FFC9C" w14:textId="45727BA3" w:rsidR="002D5614" w:rsidRDefault="002D5614" w:rsidP="002D5614">
      <w:pPr>
        <w:pStyle w:val="Caption"/>
      </w:pPr>
      <w:bookmarkStart w:id="245" w:name="_Ref506291664"/>
      <w:r>
        <w:t xml:space="preserve">Figure </w:t>
      </w:r>
      <w:r w:rsidR="0092669D">
        <w:fldChar w:fldCharType="begin"/>
      </w:r>
      <w:r w:rsidR="0092669D">
        <w:instrText xml:space="preserve"> SEQ Figure \* ARABIC </w:instrText>
      </w:r>
      <w:r w:rsidR="0092669D">
        <w:fldChar w:fldCharType="separate"/>
      </w:r>
      <w:r w:rsidR="00725BFD">
        <w:rPr>
          <w:noProof/>
        </w:rPr>
        <w:t>7</w:t>
      </w:r>
      <w:r w:rsidR="0092669D">
        <w:rPr>
          <w:noProof/>
        </w:rPr>
        <w:fldChar w:fldCharType="end"/>
      </w:r>
      <w:bookmarkEnd w:id="245"/>
      <w:r>
        <w:t>: PDSCH resource block assignment within narrowband for 1.4 MHz BL/CE UE.</w:t>
      </w:r>
    </w:p>
    <w:p w14:paraId="11FAD739" w14:textId="1B97DF01" w:rsidR="002D5614" w:rsidRPr="0079702F" w:rsidRDefault="002D5614" w:rsidP="002D5614">
      <w:r w:rsidRPr="004B2627">
        <w:rPr>
          <w:lang w:val="en-GB" w:eastAsia="zh-CN"/>
        </w:rPr>
        <w:t xml:space="preserve">A summary of the size of the resource block assignment field </w:t>
      </w:r>
      <w:r>
        <w:rPr>
          <w:lang w:val="en-GB" w:eastAsia="zh-CN"/>
        </w:rPr>
        <w:t xml:space="preserve">for DCI format 6.1A and </w:t>
      </w:r>
      <w:r w:rsidRPr="00FA7BD3">
        <w:rPr>
          <w:lang w:val="en-GB" w:eastAsia="zh-CN"/>
        </w:rPr>
        <w:t xml:space="preserve">DCI format 6-1B </w:t>
      </w:r>
      <w:r w:rsidRPr="004B2627">
        <w:rPr>
          <w:lang w:val="en-GB" w:eastAsia="zh-CN"/>
        </w:rPr>
        <w:t xml:space="preserve">is given in </w:t>
      </w:r>
      <w:r>
        <w:rPr>
          <w:lang w:val="en-GB" w:eastAsia="zh-CN"/>
        </w:rPr>
        <w:fldChar w:fldCharType="begin"/>
      </w:r>
      <w:r>
        <w:rPr>
          <w:lang w:val="en-GB" w:eastAsia="zh-CN"/>
        </w:rPr>
        <w:instrText xml:space="preserve"> REF _Ref506455790 \h </w:instrText>
      </w:r>
      <w:r>
        <w:rPr>
          <w:lang w:val="en-GB" w:eastAsia="zh-CN"/>
        </w:rPr>
      </w:r>
      <w:r>
        <w:rPr>
          <w:lang w:val="en-GB" w:eastAsia="zh-CN"/>
        </w:rPr>
        <w:fldChar w:fldCharType="separate"/>
      </w:r>
      <w:r w:rsidR="00725BFD">
        <w:t xml:space="preserve">Table </w:t>
      </w:r>
      <w:r w:rsidR="00725BFD">
        <w:rPr>
          <w:noProof/>
        </w:rPr>
        <w:t>6</w:t>
      </w:r>
      <w:r>
        <w:rPr>
          <w:lang w:val="en-GB" w:eastAsia="zh-CN"/>
        </w:rPr>
        <w:fldChar w:fldCharType="end"/>
      </w:r>
      <w:r>
        <w:rPr>
          <w:lang w:val="en-GB" w:eastAsia="zh-CN"/>
        </w:rPr>
        <w:t>.</w:t>
      </w:r>
    </w:p>
    <w:p w14:paraId="5F1F6492" w14:textId="1363ECCF" w:rsidR="002D5614" w:rsidRDefault="002D5614" w:rsidP="002D5614">
      <w:pPr>
        <w:pStyle w:val="Caption"/>
        <w:keepNext/>
      </w:pPr>
      <w:bookmarkStart w:id="246" w:name="_Ref506455790"/>
      <w:bookmarkStart w:id="247" w:name="_Ref506455785"/>
      <w:r>
        <w:t xml:space="preserve">Table </w:t>
      </w:r>
      <w:r w:rsidR="0092669D">
        <w:fldChar w:fldCharType="begin"/>
      </w:r>
      <w:r w:rsidR="0092669D">
        <w:instrText xml:space="preserve"> SEQ Table \* ARABIC </w:instrText>
      </w:r>
      <w:r w:rsidR="0092669D">
        <w:fldChar w:fldCharType="separate"/>
      </w:r>
      <w:r w:rsidR="00725BFD">
        <w:rPr>
          <w:noProof/>
        </w:rPr>
        <w:t>6</w:t>
      </w:r>
      <w:r w:rsidR="0092669D">
        <w:rPr>
          <w:noProof/>
        </w:rPr>
        <w:fldChar w:fldCharType="end"/>
      </w:r>
      <w:bookmarkEnd w:id="246"/>
      <w:r>
        <w:rPr>
          <w:noProof/>
        </w:rPr>
        <w:t>: Size of downlink resource block assignemnt field in DCI format 6-1A for different system and BL/CE UE bandwidth.</w:t>
      </w:r>
      <w:bookmarkEnd w:id="247"/>
      <w:r>
        <w:rPr>
          <w:noProof/>
        </w:rPr>
        <w:t xml:space="preserve"> </w:t>
      </w:r>
    </w:p>
    <w:tbl>
      <w:tblPr>
        <w:tblW w:w="10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5"/>
        <w:gridCol w:w="839"/>
        <w:gridCol w:w="1163"/>
        <w:gridCol w:w="1164"/>
        <w:gridCol w:w="1164"/>
        <w:gridCol w:w="1163"/>
        <w:gridCol w:w="1082"/>
        <w:gridCol w:w="1246"/>
        <w:gridCol w:w="1164"/>
      </w:tblGrid>
      <w:tr w:rsidR="002D5614" w:rsidRPr="00612282" w14:paraId="7C89C34B" w14:textId="77777777" w:rsidTr="00205A7E">
        <w:trPr>
          <w:cantSplit/>
          <w:jc w:val="center"/>
        </w:trPr>
        <w:tc>
          <w:tcPr>
            <w:tcW w:w="1065" w:type="dxa"/>
            <w:vMerge w:val="restart"/>
            <w:tcBorders>
              <w:top w:val="double" w:sz="4" w:space="0" w:color="auto"/>
              <w:left w:val="double" w:sz="4" w:space="0" w:color="auto"/>
              <w:right w:val="double" w:sz="4" w:space="0" w:color="auto"/>
            </w:tcBorders>
            <w:shd w:val="clear" w:color="auto" w:fill="E0E0E0"/>
            <w:vAlign w:val="center"/>
          </w:tcPr>
          <w:p w14:paraId="52621E16" w14:textId="77777777" w:rsidR="002D5614" w:rsidRPr="00030884" w:rsidRDefault="002D5614" w:rsidP="00205A7E">
            <w:pPr>
              <w:pStyle w:val="TAH"/>
              <w:rPr>
                <w:bCs/>
              </w:rPr>
            </w:pPr>
            <w:r w:rsidRPr="00030884">
              <w:rPr>
                <w:bCs/>
              </w:rPr>
              <w:t>System bandwidth</w:t>
            </w:r>
          </w:p>
        </w:tc>
        <w:tc>
          <w:tcPr>
            <w:tcW w:w="839" w:type="dxa"/>
            <w:vMerge w:val="restart"/>
            <w:tcBorders>
              <w:top w:val="double" w:sz="4" w:space="0" w:color="auto"/>
              <w:left w:val="double" w:sz="4" w:space="0" w:color="auto"/>
              <w:right w:val="double" w:sz="4" w:space="0" w:color="auto"/>
            </w:tcBorders>
            <w:shd w:val="clear" w:color="auto" w:fill="E0E0E0"/>
            <w:vAlign w:val="center"/>
          </w:tcPr>
          <w:p w14:paraId="19292529" w14:textId="77777777" w:rsidR="002D5614" w:rsidRPr="00030884" w:rsidRDefault="002D5614" w:rsidP="00205A7E">
            <w:pPr>
              <w:pStyle w:val="TAH"/>
              <w:rPr>
                <w:color w:val="000000"/>
                <w:szCs w:val="18"/>
              </w:rPr>
            </w:pPr>
            <w:r>
              <w:rPr>
                <w:color w:val="000000"/>
                <w:szCs w:val="18"/>
              </w:rPr>
              <w:t>Total</w:t>
            </w:r>
            <w:r>
              <w:rPr>
                <w:color w:val="000000"/>
                <w:szCs w:val="18"/>
              </w:rPr>
              <w:br/>
            </w:r>
            <w:r w:rsidRPr="00030884">
              <w:rPr>
                <w:color w:val="000000"/>
                <w:szCs w:val="18"/>
              </w:rPr>
              <w:t>number of PRBs</w:t>
            </w:r>
          </w:p>
        </w:tc>
        <w:tc>
          <w:tcPr>
            <w:tcW w:w="4654" w:type="dxa"/>
            <w:gridSpan w:val="4"/>
            <w:tcBorders>
              <w:top w:val="double" w:sz="4" w:space="0" w:color="auto"/>
              <w:left w:val="double" w:sz="4" w:space="0" w:color="auto"/>
              <w:bottom w:val="single" w:sz="4" w:space="0" w:color="auto"/>
              <w:right w:val="double" w:sz="4" w:space="0" w:color="auto"/>
            </w:tcBorders>
            <w:shd w:val="clear" w:color="auto" w:fill="E0E0E0"/>
            <w:vAlign w:val="center"/>
          </w:tcPr>
          <w:p w14:paraId="5A835056" w14:textId="77777777" w:rsidR="002D5614" w:rsidRPr="00030884" w:rsidRDefault="002D5614" w:rsidP="00205A7E">
            <w:pPr>
              <w:pStyle w:val="TAH"/>
              <w:rPr>
                <w:bCs/>
              </w:rPr>
            </w:pPr>
            <w:r>
              <w:rPr>
                <w:bCs/>
              </w:rPr>
              <w:t>CE mode A, DCI format 6-1A</w:t>
            </w:r>
          </w:p>
        </w:tc>
        <w:tc>
          <w:tcPr>
            <w:tcW w:w="3492" w:type="dxa"/>
            <w:gridSpan w:val="3"/>
            <w:tcBorders>
              <w:top w:val="double" w:sz="4" w:space="0" w:color="auto"/>
              <w:left w:val="double" w:sz="4" w:space="0" w:color="auto"/>
              <w:bottom w:val="single" w:sz="4" w:space="0" w:color="auto"/>
              <w:right w:val="double" w:sz="4" w:space="0" w:color="auto"/>
            </w:tcBorders>
            <w:shd w:val="clear" w:color="auto" w:fill="E0E0E0"/>
            <w:vAlign w:val="center"/>
          </w:tcPr>
          <w:p w14:paraId="7AADE727" w14:textId="77777777" w:rsidR="002D5614" w:rsidRDefault="002D5614" w:rsidP="00205A7E">
            <w:pPr>
              <w:pStyle w:val="TAH"/>
              <w:rPr>
                <w:bCs/>
              </w:rPr>
            </w:pPr>
            <w:r>
              <w:rPr>
                <w:bCs/>
                <w:lang w:val="sv-SE"/>
              </w:rPr>
              <w:t>CE mode B, DCI fo</w:t>
            </w:r>
            <w:r w:rsidRPr="0079702F">
              <w:rPr>
                <w:bCs/>
                <w:lang w:val="sv-SE"/>
              </w:rPr>
              <w:t>r</w:t>
            </w:r>
            <w:r>
              <w:rPr>
                <w:bCs/>
                <w:lang w:val="sv-SE"/>
              </w:rPr>
              <w:t>m</w:t>
            </w:r>
            <w:r w:rsidRPr="0079702F">
              <w:rPr>
                <w:bCs/>
                <w:lang w:val="sv-SE"/>
              </w:rPr>
              <w:t>at 6-1B</w:t>
            </w:r>
          </w:p>
        </w:tc>
      </w:tr>
      <w:tr w:rsidR="002D5614" w:rsidRPr="0079702F" w14:paraId="061953FE" w14:textId="77777777" w:rsidTr="00205A7E">
        <w:trPr>
          <w:cantSplit/>
          <w:jc w:val="center"/>
        </w:trPr>
        <w:tc>
          <w:tcPr>
            <w:tcW w:w="1065" w:type="dxa"/>
            <w:vMerge/>
            <w:tcBorders>
              <w:left w:val="double" w:sz="4" w:space="0" w:color="auto"/>
              <w:right w:val="double" w:sz="4" w:space="0" w:color="auto"/>
            </w:tcBorders>
            <w:shd w:val="clear" w:color="auto" w:fill="E0E0E0"/>
            <w:vAlign w:val="center"/>
          </w:tcPr>
          <w:p w14:paraId="4C160576" w14:textId="77777777" w:rsidR="002D5614" w:rsidRPr="00E21461" w:rsidRDefault="002D5614" w:rsidP="00205A7E">
            <w:pPr>
              <w:pStyle w:val="TAH"/>
              <w:rPr>
                <w:bCs/>
              </w:rPr>
            </w:pPr>
          </w:p>
        </w:tc>
        <w:tc>
          <w:tcPr>
            <w:tcW w:w="839" w:type="dxa"/>
            <w:vMerge/>
            <w:tcBorders>
              <w:left w:val="double" w:sz="4" w:space="0" w:color="auto"/>
              <w:right w:val="double" w:sz="4" w:space="0" w:color="auto"/>
            </w:tcBorders>
            <w:shd w:val="clear" w:color="auto" w:fill="E0E0E0"/>
            <w:vAlign w:val="center"/>
          </w:tcPr>
          <w:p w14:paraId="03DC6B65" w14:textId="77777777" w:rsidR="002D5614" w:rsidRPr="00E21461" w:rsidRDefault="002D5614" w:rsidP="00205A7E">
            <w:pPr>
              <w:pStyle w:val="TAH"/>
              <w:rPr>
                <w:color w:val="000000"/>
                <w:szCs w:val="18"/>
              </w:rPr>
            </w:pPr>
          </w:p>
        </w:tc>
        <w:tc>
          <w:tcPr>
            <w:tcW w:w="4654" w:type="dxa"/>
            <w:gridSpan w:val="4"/>
            <w:tcBorders>
              <w:top w:val="single" w:sz="4" w:space="0" w:color="auto"/>
              <w:left w:val="double" w:sz="4" w:space="0" w:color="auto"/>
              <w:right w:val="double" w:sz="4" w:space="0" w:color="auto"/>
            </w:tcBorders>
            <w:shd w:val="clear" w:color="auto" w:fill="E0E0E0"/>
            <w:vAlign w:val="center"/>
          </w:tcPr>
          <w:p w14:paraId="3A10A7E8" w14:textId="77777777" w:rsidR="002D5614" w:rsidRDefault="002D5614" w:rsidP="00205A7E">
            <w:pPr>
              <w:pStyle w:val="TAH"/>
              <w:rPr>
                <w:bCs/>
              </w:rPr>
            </w:pPr>
            <w:r>
              <w:rPr>
                <w:bCs/>
              </w:rPr>
              <w:t>UE bandwidth</w:t>
            </w:r>
          </w:p>
        </w:tc>
        <w:tc>
          <w:tcPr>
            <w:tcW w:w="3492" w:type="dxa"/>
            <w:gridSpan w:val="3"/>
            <w:tcBorders>
              <w:top w:val="single" w:sz="4" w:space="0" w:color="auto"/>
              <w:left w:val="double" w:sz="4" w:space="0" w:color="auto"/>
              <w:right w:val="double" w:sz="4" w:space="0" w:color="auto"/>
            </w:tcBorders>
            <w:shd w:val="clear" w:color="auto" w:fill="E0E0E0"/>
            <w:vAlign w:val="center"/>
          </w:tcPr>
          <w:p w14:paraId="2C063B2F" w14:textId="77777777" w:rsidR="002D5614" w:rsidRDefault="002D5614" w:rsidP="00205A7E">
            <w:pPr>
              <w:pStyle w:val="TAH"/>
              <w:rPr>
                <w:bCs/>
              </w:rPr>
            </w:pPr>
            <w:r>
              <w:rPr>
                <w:bCs/>
              </w:rPr>
              <w:t>UE bandwidth</w:t>
            </w:r>
          </w:p>
        </w:tc>
      </w:tr>
      <w:tr w:rsidR="002D5614" w:rsidRPr="001F56A6" w14:paraId="431F4D51" w14:textId="77777777" w:rsidTr="00205A7E">
        <w:trPr>
          <w:cantSplit/>
          <w:trHeight w:val="386"/>
          <w:jc w:val="center"/>
        </w:trPr>
        <w:tc>
          <w:tcPr>
            <w:tcW w:w="1065" w:type="dxa"/>
            <w:vMerge/>
            <w:tcBorders>
              <w:left w:val="double" w:sz="4" w:space="0" w:color="auto"/>
              <w:right w:val="double" w:sz="4" w:space="0" w:color="auto"/>
            </w:tcBorders>
            <w:shd w:val="clear" w:color="auto" w:fill="E0E0E0"/>
            <w:vAlign w:val="center"/>
          </w:tcPr>
          <w:p w14:paraId="14B7E98E" w14:textId="77777777" w:rsidR="002D5614" w:rsidRPr="00030884" w:rsidRDefault="002D5614" w:rsidP="00205A7E">
            <w:pPr>
              <w:pStyle w:val="TAH"/>
              <w:rPr>
                <w:bCs/>
              </w:rPr>
            </w:pPr>
          </w:p>
        </w:tc>
        <w:tc>
          <w:tcPr>
            <w:tcW w:w="839" w:type="dxa"/>
            <w:vMerge/>
            <w:tcBorders>
              <w:left w:val="double" w:sz="4" w:space="0" w:color="auto"/>
              <w:right w:val="double" w:sz="4" w:space="0" w:color="auto"/>
            </w:tcBorders>
            <w:shd w:val="clear" w:color="auto" w:fill="E0E0E0"/>
            <w:vAlign w:val="center"/>
          </w:tcPr>
          <w:p w14:paraId="6E879B7D" w14:textId="77777777" w:rsidR="002D5614" w:rsidRPr="00030884" w:rsidRDefault="002D5614" w:rsidP="00205A7E">
            <w:pPr>
              <w:pStyle w:val="TAH"/>
              <w:rPr>
                <w:bCs/>
              </w:rPr>
            </w:pPr>
          </w:p>
        </w:tc>
        <w:tc>
          <w:tcPr>
            <w:tcW w:w="1163" w:type="dxa"/>
            <w:vMerge w:val="restart"/>
            <w:tcBorders>
              <w:left w:val="double" w:sz="4" w:space="0" w:color="auto"/>
              <w:right w:val="single" w:sz="4" w:space="0" w:color="auto"/>
            </w:tcBorders>
            <w:shd w:val="clear" w:color="auto" w:fill="E0E0E0"/>
            <w:vAlign w:val="center"/>
          </w:tcPr>
          <w:p w14:paraId="6364FF5F" w14:textId="77777777" w:rsidR="002D5614" w:rsidRPr="00030884" w:rsidRDefault="002D5614" w:rsidP="00205A7E">
            <w:pPr>
              <w:pStyle w:val="TAH"/>
              <w:rPr>
                <w:bCs/>
              </w:rPr>
            </w:pPr>
            <w:r>
              <w:rPr>
                <w:bCs/>
              </w:rPr>
              <w:t>1.4 MHz</w:t>
            </w:r>
            <w:r>
              <w:rPr>
                <w:bCs/>
              </w:rPr>
              <w:br/>
              <w:t>RA type 2</w:t>
            </w:r>
          </w:p>
        </w:tc>
        <w:tc>
          <w:tcPr>
            <w:tcW w:w="1164" w:type="dxa"/>
            <w:vMerge w:val="restart"/>
            <w:tcBorders>
              <w:left w:val="single" w:sz="4" w:space="0" w:color="auto"/>
            </w:tcBorders>
            <w:shd w:val="clear" w:color="auto" w:fill="E0E0E0"/>
            <w:vAlign w:val="center"/>
          </w:tcPr>
          <w:p w14:paraId="34A5CE2F" w14:textId="77777777" w:rsidR="002D5614" w:rsidRPr="00030884" w:rsidRDefault="002D5614" w:rsidP="00205A7E">
            <w:pPr>
              <w:pStyle w:val="TAH"/>
              <w:rPr>
                <w:bCs/>
              </w:rPr>
            </w:pPr>
            <w:r>
              <w:rPr>
                <w:bCs/>
              </w:rPr>
              <w:t>5 MHz</w:t>
            </w:r>
            <w:r>
              <w:rPr>
                <w:bCs/>
              </w:rPr>
              <w:br/>
              <w:t>RA type 2</w:t>
            </w:r>
          </w:p>
        </w:tc>
        <w:tc>
          <w:tcPr>
            <w:tcW w:w="2327" w:type="dxa"/>
            <w:gridSpan w:val="2"/>
            <w:tcBorders>
              <w:right w:val="double" w:sz="4" w:space="0" w:color="auto"/>
            </w:tcBorders>
            <w:shd w:val="clear" w:color="auto" w:fill="E0E0E0"/>
            <w:vAlign w:val="center"/>
          </w:tcPr>
          <w:p w14:paraId="57E39F6A" w14:textId="77777777" w:rsidR="002D5614" w:rsidRPr="00030884" w:rsidRDefault="002D5614" w:rsidP="00205A7E">
            <w:pPr>
              <w:pStyle w:val="TAH"/>
              <w:rPr>
                <w:bCs/>
              </w:rPr>
            </w:pPr>
            <w:r>
              <w:rPr>
                <w:bCs/>
              </w:rPr>
              <w:t>20 MHz</w:t>
            </w:r>
          </w:p>
        </w:tc>
        <w:tc>
          <w:tcPr>
            <w:tcW w:w="1082" w:type="dxa"/>
            <w:vMerge w:val="restart"/>
            <w:tcBorders>
              <w:right w:val="single" w:sz="4" w:space="0" w:color="auto"/>
            </w:tcBorders>
            <w:shd w:val="clear" w:color="auto" w:fill="E0E0E0"/>
            <w:vAlign w:val="center"/>
          </w:tcPr>
          <w:p w14:paraId="52678424" w14:textId="77777777" w:rsidR="002D5614" w:rsidRDefault="002D5614" w:rsidP="00205A7E">
            <w:pPr>
              <w:pStyle w:val="TAH"/>
              <w:rPr>
                <w:bCs/>
              </w:rPr>
            </w:pPr>
            <w:r>
              <w:rPr>
                <w:bCs/>
              </w:rPr>
              <w:t>1.4 MHz</w:t>
            </w:r>
          </w:p>
        </w:tc>
        <w:tc>
          <w:tcPr>
            <w:tcW w:w="1246" w:type="dxa"/>
            <w:vMerge w:val="restart"/>
            <w:tcBorders>
              <w:left w:val="single" w:sz="4" w:space="0" w:color="auto"/>
              <w:right w:val="single" w:sz="4" w:space="0" w:color="auto"/>
            </w:tcBorders>
            <w:shd w:val="clear" w:color="auto" w:fill="E0E0E0"/>
            <w:vAlign w:val="center"/>
          </w:tcPr>
          <w:p w14:paraId="684542BA" w14:textId="77777777" w:rsidR="002D5614" w:rsidRDefault="002D5614" w:rsidP="00205A7E">
            <w:pPr>
              <w:pStyle w:val="TAH"/>
              <w:rPr>
                <w:bCs/>
              </w:rPr>
            </w:pPr>
            <w:r>
              <w:rPr>
                <w:bCs/>
              </w:rPr>
              <w:t>5 MHz</w:t>
            </w:r>
          </w:p>
        </w:tc>
        <w:tc>
          <w:tcPr>
            <w:tcW w:w="1164" w:type="dxa"/>
            <w:vMerge w:val="restart"/>
            <w:tcBorders>
              <w:left w:val="single" w:sz="4" w:space="0" w:color="auto"/>
              <w:right w:val="double" w:sz="4" w:space="0" w:color="auto"/>
            </w:tcBorders>
            <w:shd w:val="clear" w:color="auto" w:fill="E0E0E0"/>
            <w:vAlign w:val="center"/>
          </w:tcPr>
          <w:p w14:paraId="441DB7C1" w14:textId="77777777" w:rsidR="002D5614" w:rsidRDefault="002D5614" w:rsidP="00205A7E">
            <w:pPr>
              <w:pStyle w:val="TAH"/>
              <w:rPr>
                <w:bCs/>
              </w:rPr>
            </w:pPr>
            <w:r>
              <w:rPr>
                <w:bCs/>
              </w:rPr>
              <w:t>20 MHz</w:t>
            </w:r>
          </w:p>
        </w:tc>
      </w:tr>
      <w:tr w:rsidR="002D5614" w:rsidRPr="001F56A6" w14:paraId="5014E8ED" w14:textId="77777777" w:rsidTr="00205A7E">
        <w:trPr>
          <w:cantSplit/>
          <w:trHeight w:val="386"/>
          <w:jc w:val="center"/>
        </w:trPr>
        <w:tc>
          <w:tcPr>
            <w:tcW w:w="1065" w:type="dxa"/>
            <w:vMerge/>
            <w:tcBorders>
              <w:left w:val="double" w:sz="4" w:space="0" w:color="auto"/>
              <w:right w:val="double" w:sz="4" w:space="0" w:color="auto"/>
            </w:tcBorders>
            <w:shd w:val="clear" w:color="auto" w:fill="E0E0E0"/>
            <w:vAlign w:val="center"/>
          </w:tcPr>
          <w:p w14:paraId="22E5ECFA" w14:textId="77777777" w:rsidR="002D5614" w:rsidRPr="00030884" w:rsidRDefault="002D5614" w:rsidP="00205A7E">
            <w:pPr>
              <w:pStyle w:val="TAH"/>
              <w:rPr>
                <w:bCs/>
              </w:rPr>
            </w:pPr>
          </w:p>
        </w:tc>
        <w:tc>
          <w:tcPr>
            <w:tcW w:w="839" w:type="dxa"/>
            <w:vMerge/>
            <w:tcBorders>
              <w:left w:val="double" w:sz="4" w:space="0" w:color="auto"/>
              <w:right w:val="double" w:sz="4" w:space="0" w:color="auto"/>
            </w:tcBorders>
            <w:shd w:val="clear" w:color="auto" w:fill="E0E0E0"/>
            <w:vAlign w:val="center"/>
          </w:tcPr>
          <w:p w14:paraId="69C0F069" w14:textId="77777777" w:rsidR="002D5614" w:rsidRPr="00030884" w:rsidRDefault="002D5614" w:rsidP="00205A7E">
            <w:pPr>
              <w:pStyle w:val="TAH"/>
              <w:rPr>
                <w:color w:val="000000"/>
                <w:szCs w:val="18"/>
              </w:rPr>
            </w:pPr>
          </w:p>
        </w:tc>
        <w:tc>
          <w:tcPr>
            <w:tcW w:w="1163" w:type="dxa"/>
            <w:vMerge/>
            <w:tcBorders>
              <w:left w:val="double" w:sz="4" w:space="0" w:color="auto"/>
              <w:right w:val="single" w:sz="4" w:space="0" w:color="auto"/>
            </w:tcBorders>
            <w:shd w:val="clear" w:color="auto" w:fill="E0E0E0"/>
            <w:vAlign w:val="center"/>
          </w:tcPr>
          <w:p w14:paraId="29D3D1D3" w14:textId="77777777" w:rsidR="002D5614" w:rsidRDefault="002D5614" w:rsidP="00205A7E">
            <w:pPr>
              <w:pStyle w:val="TAH"/>
              <w:rPr>
                <w:bCs/>
              </w:rPr>
            </w:pPr>
          </w:p>
        </w:tc>
        <w:tc>
          <w:tcPr>
            <w:tcW w:w="1164" w:type="dxa"/>
            <w:vMerge/>
            <w:tcBorders>
              <w:left w:val="single" w:sz="4" w:space="0" w:color="auto"/>
            </w:tcBorders>
            <w:shd w:val="clear" w:color="auto" w:fill="E0E0E0"/>
            <w:vAlign w:val="center"/>
          </w:tcPr>
          <w:p w14:paraId="3E2551C9" w14:textId="77777777" w:rsidR="002D5614" w:rsidRDefault="002D5614" w:rsidP="00205A7E">
            <w:pPr>
              <w:pStyle w:val="TAH"/>
              <w:rPr>
                <w:bCs/>
              </w:rPr>
            </w:pPr>
          </w:p>
        </w:tc>
        <w:tc>
          <w:tcPr>
            <w:tcW w:w="1164" w:type="dxa"/>
            <w:shd w:val="clear" w:color="auto" w:fill="E0E0E0"/>
            <w:vAlign w:val="center"/>
          </w:tcPr>
          <w:p w14:paraId="38BF6675" w14:textId="77777777" w:rsidR="002D5614" w:rsidRDefault="002D5614" w:rsidP="00205A7E">
            <w:pPr>
              <w:pStyle w:val="TAH"/>
              <w:rPr>
                <w:bCs/>
              </w:rPr>
            </w:pPr>
            <w:r>
              <w:rPr>
                <w:bCs/>
              </w:rPr>
              <w:t>RA type 0</w:t>
            </w:r>
          </w:p>
        </w:tc>
        <w:tc>
          <w:tcPr>
            <w:tcW w:w="1163" w:type="dxa"/>
            <w:tcBorders>
              <w:right w:val="double" w:sz="4" w:space="0" w:color="auto"/>
            </w:tcBorders>
            <w:shd w:val="clear" w:color="auto" w:fill="E0E0E0"/>
            <w:vAlign w:val="center"/>
          </w:tcPr>
          <w:p w14:paraId="21CA7990" w14:textId="77777777" w:rsidR="002D5614" w:rsidRDefault="002D5614" w:rsidP="00205A7E">
            <w:pPr>
              <w:pStyle w:val="TAH"/>
              <w:rPr>
                <w:bCs/>
              </w:rPr>
            </w:pPr>
            <w:r>
              <w:rPr>
                <w:bCs/>
              </w:rPr>
              <w:t>RA type 2</w:t>
            </w:r>
          </w:p>
        </w:tc>
        <w:tc>
          <w:tcPr>
            <w:tcW w:w="1082" w:type="dxa"/>
            <w:vMerge/>
            <w:tcBorders>
              <w:right w:val="single" w:sz="4" w:space="0" w:color="auto"/>
            </w:tcBorders>
            <w:shd w:val="clear" w:color="auto" w:fill="E0E0E0"/>
          </w:tcPr>
          <w:p w14:paraId="6FA641BB" w14:textId="77777777" w:rsidR="002D5614" w:rsidRDefault="002D5614" w:rsidP="00205A7E">
            <w:pPr>
              <w:pStyle w:val="TAH"/>
              <w:rPr>
                <w:bCs/>
              </w:rPr>
            </w:pPr>
          </w:p>
        </w:tc>
        <w:tc>
          <w:tcPr>
            <w:tcW w:w="1246" w:type="dxa"/>
            <w:vMerge/>
            <w:tcBorders>
              <w:left w:val="single" w:sz="4" w:space="0" w:color="auto"/>
              <w:right w:val="single" w:sz="4" w:space="0" w:color="auto"/>
            </w:tcBorders>
            <w:shd w:val="clear" w:color="auto" w:fill="E0E0E0"/>
          </w:tcPr>
          <w:p w14:paraId="58349A85" w14:textId="77777777" w:rsidR="002D5614" w:rsidRDefault="002D5614" w:rsidP="00205A7E">
            <w:pPr>
              <w:pStyle w:val="TAH"/>
              <w:rPr>
                <w:bCs/>
              </w:rPr>
            </w:pPr>
          </w:p>
        </w:tc>
        <w:tc>
          <w:tcPr>
            <w:tcW w:w="1164" w:type="dxa"/>
            <w:vMerge/>
            <w:tcBorders>
              <w:left w:val="single" w:sz="4" w:space="0" w:color="auto"/>
              <w:right w:val="double" w:sz="4" w:space="0" w:color="auto"/>
            </w:tcBorders>
            <w:shd w:val="clear" w:color="auto" w:fill="E0E0E0"/>
          </w:tcPr>
          <w:p w14:paraId="7518B642" w14:textId="77777777" w:rsidR="002D5614" w:rsidRDefault="002D5614" w:rsidP="00205A7E">
            <w:pPr>
              <w:pStyle w:val="TAH"/>
              <w:rPr>
                <w:bCs/>
              </w:rPr>
            </w:pPr>
          </w:p>
        </w:tc>
      </w:tr>
      <w:tr w:rsidR="002D5614" w:rsidRPr="00030884" w14:paraId="076335F6" w14:textId="77777777" w:rsidTr="00205A7E">
        <w:trPr>
          <w:cantSplit/>
          <w:jc w:val="center"/>
        </w:trPr>
        <w:tc>
          <w:tcPr>
            <w:tcW w:w="1065" w:type="dxa"/>
            <w:tcBorders>
              <w:left w:val="double" w:sz="4" w:space="0" w:color="auto"/>
              <w:right w:val="double" w:sz="4" w:space="0" w:color="auto"/>
            </w:tcBorders>
            <w:shd w:val="clear" w:color="auto" w:fill="auto"/>
            <w:vAlign w:val="center"/>
          </w:tcPr>
          <w:p w14:paraId="4D38BC1D" w14:textId="77777777" w:rsidR="002D5614" w:rsidRPr="00030884" w:rsidRDefault="002D5614" w:rsidP="00205A7E">
            <w:pPr>
              <w:pStyle w:val="TAC"/>
            </w:pPr>
            <w:r w:rsidRPr="00030884">
              <w:t>1.4 MHz</w:t>
            </w:r>
          </w:p>
        </w:tc>
        <w:tc>
          <w:tcPr>
            <w:tcW w:w="839" w:type="dxa"/>
            <w:tcBorders>
              <w:left w:val="double" w:sz="4" w:space="0" w:color="auto"/>
              <w:right w:val="double" w:sz="4" w:space="0" w:color="auto"/>
            </w:tcBorders>
            <w:vAlign w:val="center"/>
          </w:tcPr>
          <w:p w14:paraId="14959395" w14:textId="77777777" w:rsidR="002D5614" w:rsidRPr="00030884" w:rsidRDefault="002D5614" w:rsidP="00205A7E">
            <w:pPr>
              <w:pStyle w:val="TAC"/>
            </w:pPr>
            <w:r w:rsidRPr="00030884">
              <w:rPr>
                <w:color w:val="000000"/>
                <w:szCs w:val="18"/>
              </w:rPr>
              <w:t>6</w:t>
            </w:r>
          </w:p>
        </w:tc>
        <w:tc>
          <w:tcPr>
            <w:tcW w:w="1163" w:type="dxa"/>
            <w:tcBorders>
              <w:left w:val="double" w:sz="4" w:space="0" w:color="auto"/>
              <w:right w:val="single" w:sz="4" w:space="0" w:color="auto"/>
            </w:tcBorders>
          </w:tcPr>
          <w:p w14:paraId="494B75F3" w14:textId="77777777" w:rsidR="002D5614" w:rsidRPr="00030884" w:rsidRDefault="002D5614" w:rsidP="00205A7E">
            <w:pPr>
              <w:pStyle w:val="TAC"/>
            </w:pPr>
            <w:r w:rsidRPr="00030884">
              <w:t>5</w:t>
            </w:r>
          </w:p>
        </w:tc>
        <w:tc>
          <w:tcPr>
            <w:tcW w:w="1164" w:type="dxa"/>
            <w:tcBorders>
              <w:left w:val="single" w:sz="4" w:space="0" w:color="auto"/>
            </w:tcBorders>
          </w:tcPr>
          <w:p w14:paraId="6EF8B54E" w14:textId="77777777" w:rsidR="002D5614" w:rsidRPr="00DB670C" w:rsidRDefault="002D5614" w:rsidP="00205A7E">
            <w:pPr>
              <w:pStyle w:val="TAC"/>
            </w:pPr>
            <w:r>
              <w:t>5</w:t>
            </w:r>
          </w:p>
        </w:tc>
        <w:tc>
          <w:tcPr>
            <w:tcW w:w="1164" w:type="dxa"/>
          </w:tcPr>
          <w:p w14:paraId="56505CDB" w14:textId="77777777" w:rsidR="002D5614" w:rsidRPr="00030884" w:rsidRDefault="002D5614" w:rsidP="00205A7E">
            <w:pPr>
              <w:pStyle w:val="TAC"/>
            </w:pPr>
            <w:r>
              <w:t>1 (+4)</w:t>
            </w:r>
          </w:p>
        </w:tc>
        <w:tc>
          <w:tcPr>
            <w:tcW w:w="1163" w:type="dxa"/>
            <w:tcBorders>
              <w:right w:val="double" w:sz="4" w:space="0" w:color="auto"/>
            </w:tcBorders>
          </w:tcPr>
          <w:p w14:paraId="64073092" w14:textId="77777777" w:rsidR="002D5614" w:rsidRPr="00030884" w:rsidRDefault="002D5614" w:rsidP="00205A7E">
            <w:pPr>
              <w:pStyle w:val="TAC"/>
            </w:pPr>
            <w:r>
              <w:t>5</w:t>
            </w:r>
          </w:p>
        </w:tc>
        <w:tc>
          <w:tcPr>
            <w:tcW w:w="1082" w:type="dxa"/>
            <w:tcBorders>
              <w:right w:val="single" w:sz="4" w:space="0" w:color="auto"/>
            </w:tcBorders>
          </w:tcPr>
          <w:p w14:paraId="02DF4A47" w14:textId="77777777" w:rsidR="002D5614" w:rsidRDefault="002D5614" w:rsidP="00205A7E">
            <w:pPr>
              <w:pStyle w:val="TAC"/>
            </w:pPr>
            <w:r w:rsidRPr="00030884">
              <w:t>1</w:t>
            </w:r>
          </w:p>
        </w:tc>
        <w:tc>
          <w:tcPr>
            <w:tcW w:w="1246" w:type="dxa"/>
            <w:tcBorders>
              <w:left w:val="single" w:sz="4" w:space="0" w:color="auto"/>
              <w:right w:val="single" w:sz="4" w:space="0" w:color="auto"/>
            </w:tcBorders>
          </w:tcPr>
          <w:p w14:paraId="4B313539" w14:textId="77777777" w:rsidR="002D5614" w:rsidRDefault="002D5614" w:rsidP="00205A7E">
            <w:pPr>
              <w:pStyle w:val="TAC"/>
            </w:pPr>
            <w:r>
              <w:t>1</w:t>
            </w:r>
          </w:p>
        </w:tc>
        <w:tc>
          <w:tcPr>
            <w:tcW w:w="1164" w:type="dxa"/>
            <w:tcBorders>
              <w:left w:val="single" w:sz="4" w:space="0" w:color="auto"/>
              <w:right w:val="double" w:sz="4" w:space="0" w:color="auto"/>
            </w:tcBorders>
          </w:tcPr>
          <w:p w14:paraId="39D3A4BA" w14:textId="77777777" w:rsidR="002D5614" w:rsidRDefault="002D5614" w:rsidP="00205A7E">
            <w:pPr>
              <w:pStyle w:val="TAC"/>
            </w:pPr>
            <w:r>
              <w:t>1</w:t>
            </w:r>
          </w:p>
        </w:tc>
      </w:tr>
      <w:tr w:rsidR="002D5614" w:rsidRPr="00030884" w14:paraId="397DA323" w14:textId="77777777" w:rsidTr="00205A7E">
        <w:trPr>
          <w:cantSplit/>
          <w:jc w:val="center"/>
        </w:trPr>
        <w:tc>
          <w:tcPr>
            <w:tcW w:w="1065" w:type="dxa"/>
            <w:tcBorders>
              <w:left w:val="double" w:sz="4" w:space="0" w:color="auto"/>
              <w:right w:val="double" w:sz="4" w:space="0" w:color="auto"/>
            </w:tcBorders>
            <w:shd w:val="clear" w:color="auto" w:fill="auto"/>
            <w:vAlign w:val="center"/>
          </w:tcPr>
          <w:p w14:paraId="0419CF4D" w14:textId="77777777" w:rsidR="002D5614" w:rsidRPr="00030884" w:rsidRDefault="002D5614" w:rsidP="00205A7E">
            <w:pPr>
              <w:pStyle w:val="TAC"/>
            </w:pPr>
            <w:r w:rsidRPr="00030884">
              <w:t>3 MHz</w:t>
            </w:r>
          </w:p>
        </w:tc>
        <w:tc>
          <w:tcPr>
            <w:tcW w:w="839" w:type="dxa"/>
            <w:tcBorders>
              <w:left w:val="double" w:sz="4" w:space="0" w:color="auto"/>
              <w:right w:val="double" w:sz="4" w:space="0" w:color="auto"/>
            </w:tcBorders>
            <w:vAlign w:val="center"/>
          </w:tcPr>
          <w:p w14:paraId="6D326189" w14:textId="77777777" w:rsidR="002D5614" w:rsidRPr="00030884" w:rsidRDefault="002D5614" w:rsidP="00205A7E">
            <w:pPr>
              <w:pStyle w:val="TAC"/>
            </w:pPr>
            <w:r w:rsidRPr="00030884">
              <w:rPr>
                <w:color w:val="000000"/>
                <w:szCs w:val="18"/>
              </w:rPr>
              <w:t>12</w:t>
            </w:r>
          </w:p>
        </w:tc>
        <w:tc>
          <w:tcPr>
            <w:tcW w:w="1163" w:type="dxa"/>
            <w:tcBorders>
              <w:left w:val="double" w:sz="4" w:space="0" w:color="auto"/>
              <w:right w:val="single" w:sz="4" w:space="0" w:color="auto"/>
            </w:tcBorders>
          </w:tcPr>
          <w:p w14:paraId="40D4B72F" w14:textId="77777777" w:rsidR="002D5614" w:rsidRPr="00030884" w:rsidRDefault="002D5614" w:rsidP="00205A7E">
            <w:pPr>
              <w:pStyle w:val="TAC"/>
            </w:pPr>
            <w:r w:rsidRPr="00030884">
              <w:t>6</w:t>
            </w:r>
          </w:p>
        </w:tc>
        <w:tc>
          <w:tcPr>
            <w:tcW w:w="1164" w:type="dxa"/>
            <w:tcBorders>
              <w:left w:val="single" w:sz="4" w:space="0" w:color="auto"/>
            </w:tcBorders>
          </w:tcPr>
          <w:p w14:paraId="3B846E00" w14:textId="77777777" w:rsidR="002D5614" w:rsidRPr="00030884" w:rsidRDefault="002D5614" w:rsidP="00205A7E">
            <w:pPr>
              <w:pStyle w:val="TAC"/>
            </w:pPr>
            <w:r>
              <w:t>7</w:t>
            </w:r>
          </w:p>
        </w:tc>
        <w:tc>
          <w:tcPr>
            <w:tcW w:w="1164" w:type="dxa"/>
          </w:tcPr>
          <w:p w14:paraId="627CCD5D" w14:textId="77777777" w:rsidR="002D5614" w:rsidRPr="00030884" w:rsidRDefault="002D5614" w:rsidP="00205A7E">
            <w:pPr>
              <w:pStyle w:val="TAC"/>
            </w:pPr>
            <w:r>
              <w:t>2 (+ 5)</w:t>
            </w:r>
          </w:p>
        </w:tc>
        <w:tc>
          <w:tcPr>
            <w:tcW w:w="1163" w:type="dxa"/>
            <w:tcBorders>
              <w:right w:val="double" w:sz="4" w:space="0" w:color="auto"/>
            </w:tcBorders>
          </w:tcPr>
          <w:p w14:paraId="68DF610B" w14:textId="77777777" w:rsidR="002D5614" w:rsidRPr="00030884" w:rsidRDefault="002D5614" w:rsidP="00205A7E">
            <w:pPr>
              <w:pStyle w:val="TAC"/>
            </w:pPr>
            <w:r>
              <w:t>7</w:t>
            </w:r>
          </w:p>
        </w:tc>
        <w:tc>
          <w:tcPr>
            <w:tcW w:w="1082" w:type="dxa"/>
            <w:tcBorders>
              <w:right w:val="single" w:sz="4" w:space="0" w:color="auto"/>
            </w:tcBorders>
          </w:tcPr>
          <w:p w14:paraId="5C9AD14A" w14:textId="77777777" w:rsidR="002D5614" w:rsidRDefault="002D5614" w:rsidP="00205A7E">
            <w:pPr>
              <w:pStyle w:val="TAC"/>
            </w:pPr>
            <w:r w:rsidRPr="00030884">
              <w:t>2</w:t>
            </w:r>
          </w:p>
        </w:tc>
        <w:tc>
          <w:tcPr>
            <w:tcW w:w="1246" w:type="dxa"/>
            <w:tcBorders>
              <w:left w:val="single" w:sz="4" w:space="0" w:color="auto"/>
              <w:right w:val="single" w:sz="4" w:space="0" w:color="auto"/>
            </w:tcBorders>
          </w:tcPr>
          <w:p w14:paraId="3A5BEC1C" w14:textId="77777777" w:rsidR="002D5614" w:rsidRDefault="002D5614" w:rsidP="00205A7E">
            <w:pPr>
              <w:pStyle w:val="TAC"/>
            </w:pPr>
            <w:r>
              <w:t>2</w:t>
            </w:r>
          </w:p>
        </w:tc>
        <w:tc>
          <w:tcPr>
            <w:tcW w:w="1164" w:type="dxa"/>
            <w:tcBorders>
              <w:left w:val="single" w:sz="4" w:space="0" w:color="auto"/>
              <w:right w:val="double" w:sz="4" w:space="0" w:color="auto"/>
            </w:tcBorders>
          </w:tcPr>
          <w:p w14:paraId="737DBB0C" w14:textId="77777777" w:rsidR="002D5614" w:rsidRDefault="002D5614" w:rsidP="00205A7E">
            <w:pPr>
              <w:pStyle w:val="TAC"/>
            </w:pPr>
            <w:r>
              <w:t>2</w:t>
            </w:r>
          </w:p>
        </w:tc>
      </w:tr>
      <w:tr w:rsidR="002D5614" w:rsidRPr="00030884" w14:paraId="56D834BD" w14:textId="77777777" w:rsidTr="00205A7E">
        <w:trPr>
          <w:cantSplit/>
          <w:jc w:val="center"/>
        </w:trPr>
        <w:tc>
          <w:tcPr>
            <w:tcW w:w="1065" w:type="dxa"/>
            <w:tcBorders>
              <w:left w:val="double" w:sz="4" w:space="0" w:color="auto"/>
              <w:right w:val="double" w:sz="4" w:space="0" w:color="auto"/>
            </w:tcBorders>
            <w:shd w:val="clear" w:color="auto" w:fill="auto"/>
            <w:vAlign w:val="center"/>
          </w:tcPr>
          <w:p w14:paraId="23E83F39" w14:textId="77777777" w:rsidR="002D5614" w:rsidRPr="00030884" w:rsidRDefault="002D5614" w:rsidP="00205A7E">
            <w:pPr>
              <w:pStyle w:val="TAC"/>
            </w:pPr>
            <w:r w:rsidRPr="00030884">
              <w:t>5 MHz</w:t>
            </w:r>
          </w:p>
        </w:tc>
        <w:tc>
          <w:tcPr>
            <w:tcW w:w="839" w:type="dxa"/>
            <w:tcBorders>
              <w:left w:val="double" w:sz="4" w:space="0" w:color="auto"/>
              <w:right w:val="double" w:sz="4" w:space="0" w:color="auto"/>
            </w:tcBorders>
            <w:vAlign w:val="center"/>
          </w:tcPr>
          <w:p w14:paraId="1FCE2874" w14:textId="77777777" w:rsidR="002D5614" w:rsidRPr="00030884" w:rsidRDefault="002D5614" w:rsidP="00205A7E">
            <w:pPr>
              <w:pStyle w:val="TAC"/>
            </w:pPr>
            <w:r w:rsidRPr="00030884">
              <w:rPr>
                <w:color w:val="000000"/>
                <w:szCs w:val="18"/>
              </w:rPr>
              <w:t>25</w:t>
            </w:r>
          </w:p>
        </w:tc>
        <w:tc>
          <w:tcPr>
            <w:tcW w:w="1163" w:type="dxa"/>
            <w:tcBorders>
              <w:left w:val="double" w:sz="4" w:space="0" w:color="auto"/>
              <w:right w:val="single" w:sz="4" w:space="0" w:color="auto"/>
            </w:tcBorders>
          </w:tcPr>
          <w:p w14:paraId="42F2AD34" w14:textId="77777777" w:rsidR="002D5614" w:rsidRPr="00030884" w:rsidRDefault="002D5614" w:rsidP="00205A7E">
            <w:pPr>
              <w:pStyle w:val="TAC"/>
            </w:pPr>
            <w:r w:rsidRPr="00030884">
              <w:t>7</w:t>
            </w:r>
          </w:p>
        </w:tc>
        <w:tc>
          <w:tcPr>
            <w:tcW w:w="1164" w:type="dxa"/>
            <w:tcBorders>
              <w:left w:val="single" w:sz="4" w:space="0" w:color="auto"/>
            </w:tcBorders>
          </w:tcPr>
          <w:p w14:paraId="72EB6D2B" w14:textId="77777777" w:rsidR="002D5614" w:rsidRPr="00030884" w:rsidRDefault="002D5614" w:rsidP="00205A7E">
            <w:pPr>
              <w:pStyle w:val="TAC"/>
            </w:pPr>
            <w:r>
              <w:t>9</w:t>
            </w:r>
          </w:p>
        </w:tc>
        <w:tc>
          <w:tcPr>
            <w:tcW w:w="1164" w:type="dxa"/>
          </w:tcPr>
          <w:p w14:paraId="4CC7FD30" w14:textId="77777777" w:rsidR="002D5614" w:rsidRPr="00030884" w:rsidRDefault="002D5614" w:rsidP="00205A7E">
            <w:pPr>
              <w:pStyle w:val="TAC"/>
            </w:pPr>
            <w:r>
              <w:t>4 (+ 5)</w:t>
            </w:r>
          </w:p>
        </w:tc>
        <w:tc>
          <w:tcPr>
            <w:tcW w:w="1163" w:type="dxa"/>
            <w:tcBorders>
              <w:right w:val="double" w:sz="4" w:space="0" w:color="auto"/>
            </w:tcBorders>
          </w:tcPr>
          <w:p w14:paraId="2F48E9F0" w14:textId="77777777" w:rsidR="002D5614" w:rsidRPr="00030884" w:rsidRDefault="002D5614" w:rsidP="00205A7E">
            <w:pPr>
              <w:pStyle w:val="TAC"/>
            </w:pPr>
            <w:r>
              <w:t>9</w:t>
            </w:r>
          </w:p>
        </w:tc>
        <w:tc>
          <w:tcPr>
            <w:tcW w:w="1082" w:type="dxa"/>
            <w:tcBorders>
              <w:right w:val="single" w:sz="4" w:space="0" w:color="auto"/>
            </w:tcBorders>
          </w:tcPr>
          <w:p w14:paraId="1B436B50" w14:textId="77777777" w:rsidR="002D5614" w:rsidRDefault="002D5614" w:rsidP="00205A7E">
            <w:pPr>
              <w:pStyle w:val="TAC"/>
            </w:pPr>
            <w:r w:rsidRPr="00030884">
              <w:t>3</w:t>
            </w:r>
          </w:p>
        </w:tc>
        <w:tc>
          <w:tcPr>
            <w:tcW w:w="1246" w:type="dxa"/>
            <w:tcBorders>
              <w:left w:val="single" w:sz="4" w:space="0" w:color="auto"/>
              <w:right w:val="single" w:sz="4" w:space="0" w:color="auto"/>
            </w:tcBorders>
          </w:tcPr>
          <w:p w14:paraId="0478AEB6" w14:textId="77777777" w:rsidR="002D5614" w:rsidRDefault="002D5614" w:rsidP="00205A7E">
            <w:pPr>
              <w:pStyle w:val="TAC"/>
            </w:pPr>
            <w:r>
              <w:t>4</w:t>
            </w:r>
          </w:p>
        </w:tc>
        <w:tc>
          <w:tcPr>
            <w:tcW w:w="1164" w:type="dxa"/>
            <w:tcBorders>
              <w:left w:val="single" w:sz="4" w:space="0" w:color="auto"/>
              <w:right w:val="double" w:sz="4" w:space="0" w:color="auto"/>
            </w:tcBorders>
          </w:tcPr>
          <w:p w14:paraId="24D33D02" w14:textId="77777777" w:rsidR="002D5614" w:rsidRDefault="002D5614" w:rsidP="00205A7E">
            <w:pPr>
              <w:pStyle w:val="TAC"/>
            </w:pPr>
            <w:r>
              <w:t>4</w:t>
            </w:r>
          </w:p>
        </w:tc>
      </w:tr>
      <w:tr w:rsidR="002D5614" w:rsidRPr="00030884" w14:paraId="622C181C" w14:textId="77777777" w:rsidTr="00205A7E">
        <w:trPr>
          <w:cantSplit/>
          <w:jc w:val="center"/>
        </w:trPr>
        <w:tc>
          <w:tcPr>
            <w:tcW w:w="1065" w:type="dxa"/>
            <w:tcBorders>
              <w:left w:val="double" w:sz="4" w:space="0" w:color="auto"/>
              <w:right w:val="double" w:sz="4" w:space="0" w:color="auto"/>
            </w:tcBorders>
            <w:shd w:val="clear" w:color="auto" w:fill="auto"/>
            <w:vAlign w:val="center"/>
          </w:tcPr>
          <w:p w14:paraId="3F6C2DA6" w14:textId="77777777" w:rsidR="002D5614" w:rsidRPr="00030884" w:rsidRDefault="002D5614" w:rsidP="00205A7E">
            <w:pPr>
              <w:pStyle w:val="TAC"/>
            </w:pPr>
            <w:r w:rsidRPr="00030884">
              <w:t>10 MHz</w:t>
            </w:r>
          </w:p>
        </w:tc>
        <w:tc>
          <w:tcPr>
            <w:tcW w:w="839" w:type="dxa"/>
            <w:tcBorders>
              <w:left w:val="double" w:sz="4" w:space="0" w:color="auto"/>
              <w:right w:val="double" w:sz="4" w:space="0" w:color="auto"/>
            </w:tcBorders>
            <w:vAlign w:val="center"/>
          </w:tcPr>
          <w:p w14:paraId="341FFDDD" w14:textId="77777777" w:rsidR="002D5614" w:rsidRPr="00030884" w:rsidRDefault="002D5614" w:rsidP="00205A7E">
            <w:pPr>
              <w:pStyle w:val="TAC"/>
            </w:pPr>
            <w:r w:rsidRPr="00030884">
              <w:rPr>
                <w:color w:val="000000"/>
                <w:szCs w:val="18"/>
              </w:rPr>
              <w:t>50</w:t>
            </w:r>
          </w:p>
        </w:tc>
        <w:tc>
          <w:tcPr>
            <w:tcW w:w="1163" w:type="dxa"/>
            <w:tcBorders>
              <w:left w:val="double" w:sz="4" w:space="0" w:color="auto"/>
              <w:right w:val="single" w:sz="4" w:space="0" w:color="auto"/>
            </w:tcBorders>
          </w:tcPr>
          <w:p w14:paraId="4A5AE8D7" w14:textId="77777777" w:rsidR="002D5614" w:rsidRPr="00030884" w:rsidRDefault="002D5614" w:rsidP="00205A7E">
            <w:pPr>
              <w:pStyle w:val="TAC"/>
            </w:pPr>
            <w:r w:rsidRPr="00030884">
              <w:t>8</w:t>
            </w:r>
          </w:p>
        </w:tc>
        <w:tc>
          <w:tcPr>
            <w:tcW w:w="1164" w:type="dxa"/>
            <w:tcBorders>
              <w:left w:val="single" w:sz="4" w:space="0" w:color="auto"/>
            </w:tcBorders>
          </w:tcPr>
          <w:p w14:paraId="1CA36CFB" w14:textId="77777777" w:rsidR="002D5614" w:rsidRPr="00030884" w:rsidRDefault="002D5614" w:rsidP="00205A7E">
            <w:pPr>
              <w:pStyle w:val="TAC"/>
            </w:pPr>
            <w:r>
              <w:t>11</w:t>
            </w:r>
          </w:p>
        </w:tc>
        <w:tc>
          <w:tcPr>
            <w:tcW w:w="1164" w:type="dxa"/>
          </w:tcPr>
          <w:p w14:paraId="449889BD" w14:textId="77777777" w:rsidR="002D5614" w:rsidRPr="00030884" w:rsidRDefault="002D5614" w:rsidP="00205A7E">
            <w:pPr>
              <w:pStyle w:val="TAC"/>
            </w:pPr>
            <w:r>
              <w:t>8 (+3)</w:t>
            </w:r>
          </w:p>
        </w:tc>
        <w:tc>
          <w:tcPr>
            <w:tcW w:w="1163" w:type="dxa"/>
            <w:tcBorders>
              <w:right w:val="double" w:sz="4" w:space="0" w:color="auto"/>
            </w:tcBorders>
          </w:tcPr>
          <w:p w14:paraId="2AE8E61D" w14:textId="77777777" w:rsidR="002D5614" w:rsidRPr="00030884" w:rsidRDefault="002D5614" w:rsidP="00205A7E">
            <w:pPr>
              <w:pStyle w:val="TAC"/>
            </w:pPr>
            <w:r>
              <w:t>11</w:t>
            </w:r>
          </w:p>
        </w:tc>
        <w:tc>
          <w:tcPr>
            <w:tcW w:w="1082" w:type="dxa"/>
            <w:tcBorders>
              <w:right w:val="single" w:sz="4" w:space="0" w:color="auto"/>
            </w:tcBorders>
          </w:tcPr>
          <w:p w14:paraId="43D0A0D4" w14:textId="77777777" w:rsidR="002D5614" w:rsidRDefault="002D5614" w:rsidP="00205A7E">
            <w:pPr>
              <w:pStyle w:val="TAC"/>
            </w:pPr>
            <w:r w:rsidRPr="00030884">
              <w:t>4</w:t>
            </w:r>
          </w:p>
        </w:tc>
        <w:tc>
          <w:tcPr>
            <w:tcW w:w="1246" w:type="dxa"/>
            <w:tcBorders>
              <w:left w:val="single" w:sz="4" w:space="0" w:color="auto"/>
              <w:right w:val="single" w:sz="4" w:space="0" w:color="auto"/>
            </w:tcBorders>
          </w:tcPr>
          <w:p w14:paraId="35B6CAFE" w14:textId="77777777" w:rsidR="002D5614" w:rsidRDefault="002D5614" w:rsidP="00205A7E">
            <w:pPr>
              <w:pStyle w:val="TAC"/>
            </w:pPr>
            <w:r>
              <w:t>5</w:t>
            </w:r>
          </w:p>
        </w:tc>
        <w:tc>
          <w:tcPr>
            <w:tcW w:w="1164" w:type="dxa"/>
            <w:tcBorders>
              <w:left w:val="single" w:sz="4" w:space="0" w:color="auto"/>
              <w:right w:val="double" w:sz="4" w:space="0" w:color="auto"/>
            </w:tcBorders>
          </w:tcPr>
          <w:p w14:paraId="40965448" w14:textId="77777777" w:rsidR="002D5614" w:rsidRDefault="002D5614" w:rsidP="00205A7E">
            <w:pPr>
              <w:pStyle w:val="TAC"/>
            </w:pPr>
            <w:r>
              <w:t>6</w:t>
            </w:r>
          </w:p>
        </w:tc>
      </w:tr>
      <w:tr w:rsidR="002D5614" w:rsidRPr="00030884" w14:paraId="6BA02466" w14:textId="77777777" w:rsidTr="00205A7E">
        <w:trPr>
          <w:cantSplit/>
          <w:jc w:val="center"/>
        </w:trPr>
        <w:tc>
          <w:tcPr>
            <w:tcW w:w="1065" w:type="dxa"/>
            <w:tcBorders>
              <w:left w:val="double" w:sz="4" w:space="0" w:color="auto"/>
              <w:right w:val="double" w:sz="4" w:space="0" w:color="auto"/>
            </w:tcBorders>
            <w:shd w:val="clear" w:color="auto" w:fill="auto"/>
            <w:vAlign w:val="center"/>
          </w:tcPr>
          <w:p w14:paraId="50A5CEBA" w14:textId="77777777" w:rsidR="002D5614" w:rsidRPr="00030884" w:rsidRDefault="002D5614" w:rsidP="00205A7E">
            <w:pPr>
              <w:pStyle w:val="TAC"/>
            </w:pPr>
            <w:r w:rsidRPr="00030884">
              <w:t>15 MHz</w:t>
            </w:r>
          </w:p>
        </w:tc>
        <w:tc>
          <w:tcPr>
            <w:tcW w:w="839" w:type="dxa"/>
            <w:tcBorders>
              <w:left w:val="double" w:sz="4" w:space="0" w:color="auto"/>
              <w:right w:val="double" w:sz="4" w:space="0" w:color="auto"/>
            </w:tcBorders>
            <w:vAlign w:val="center"/>
          </w:tcPr>
          <w:p w14:paraId="03F88646" w14:textId="77777777" w:rsidR="002D5614" w:rsidRPr="00030884" w:rsidRDefault="002D5614" w:rsidP="00205A7E">
            <w:pPr>
              <w:pStyle w:val="TAC"/>
            </w:pPr>
            <w:r w:rsidRPr="00030884">
              <w:rPr>
                <w:color w:val="000000"/>
                <w:szCs w:val="18"/>
              </w:rPr>
              <w:t>75</w:t>
            </w:r>
          </w:p>
        </w:tc>
        <w:tc>
          <w:tcPr>
            <w:tcW w:w="1163" w:type="dxa"/>
            <w:tcBorders>
              <w:left w:val="double" w:sz="4" w:space="0" w:color="auto"/>
              <w:bottom w:val="single" w:sz="4" w:space="0" w:color="auto"/>
              <w:right w:val="single" w:sz="4" w:space="0" w:color="auto"/>
            </w:tcBorders>
          </w:tcPr>
          <w:p w14:paraId="7043D097" w14:textId="77777777" w:rsidR="002D5614" w:rsidRPr="00030884" w:rsidRDefault="002D5614" w:rsidP="00205A7E">
            <w:pPr>
              <w:pStyle w:val="TAC"/>
            </w:pPr>
            <w:r w:rsidRPr="00030884">
              <w:t>9</w:t>
            </w:r>
          </w:p>
        </w:tc>
        <w:tc>
          <w:tcPr>
            <w:tcW w:w="1164" w:type="dxa"/>
            <w:tcBorders>
              <w:left w:val="single" w:sz="4" w:space="0" w:color="auto"/>
              <w:bottom w:val="single" w:sz="4" w:space="0" w:color="auto"/>
            </w:tcBorders>
          </w:tcPr>
          <w:p w14:paraId="74A634A7" w14:textId="77777777" w:rsidR="002D5614" w:rsidRPr="00030884" w:rsidRDefault="002D5614" w:rsidP="00205A7E">
            <w:pPr>
              <w:pStyle w:val="TAC"/>
            </w:pPr>
            <w:r>
              <w:t>12</w:t>
            </w:r>
          </w:p>
        </w:tc>
        <w:tc>
          <w:tcPr>
            <w:tcW w:w="1164" w:type="dxa"/>
          </w:tcPr>
          <w:p w14:paraId="273ED7FD" w14:textId="77777777" w:rsidR="002D5614" w:rsidRPr="00030884" w:rsidRDefault="002D5614" w:rsidP="00205A7E">
            <w:pPr>
              <w:pStyle w:val="TAC"/>
            </w:pPr>
            <w:r>
              <w:t>12 (+0)</w:t>
            </w:r>
          </w:p>
        </w:tc>
        <w:tc>
          <w:tcPr>
            <w:tcW w:w="1163" w:type="dxa"/>
            <w:tcBorders>
              <w:right w:val="double" w:sz="4" w:space="0" w:color="auto"/>
            </w:tcBorders>
          </w:tcPr>
          <w:p w14:paraId="30F0DF5A" w14:textId="77777777" w:rsidR="002D5614" w:rsidRPr="00030884" w:rsidRDefault="002D5614" w:rsidP="00205A7E">
            <w:pPr>
              <w:pStyle w:val="TAC"/>
            </w:pPr>
            <w:r>
              <w:t>12</w:t>
            </w:r>
          </w:p>
        </w:tc>
        <w:tc>
          <w:tcPr>
            <w:tcW w:w="1082" w:type="dxa"/>
            <w:tcBorders>
              <w:right w:val="single" w:sz="4" w:space="0" w:color="auto"/>
            </w:tcBorders>
          </w:tcPr>
          <w:p w14:paraId="23B53C64" w14:textId="77777777" w:rsidR="002D5614" w:rsidRDefault="002D5614" w:rsidP="00205A7E">
            <w:pPr>
              <w:pStyle w:val="TAC"/>
            </w:pPr>
            <w:r w:rsidRPr="00030884">
              <w:t>5</w:t>
            </w:r>
          </w:p>
        </w:tc>
        <w:tc>
          <w:tcPr>
            <w:tcW w:w="1246" w:type="dxa"/>
            <w:tcBorders>
              <w:left w:val="single" w:sz="4" w:space="0" w:color="auto"/>
              <w:right w:val="single" w:sz="4" w:space="0" w:color="auto"/>
            </w:tcBorders>
          </w:tcPr>
          <w:p w14:paraId="7ADA80BF" w14:textId="77777777" w:rsidR="002D5614" w:rsidRDefault="002D5614" w:rsidP="00205A7E">
            <w:pPr>
              <w:pStyle w:val="TAC"/>
            </w:pPr>
            <w:r>
              <w:t>6</w:t>
            </w:r>
          </w:p>
        </w:tc>
        <w:tc>
          <w:tcPr>
            <w:tcW w:w="1164" w:type="dxa"/>
            <w:tcBorders>
              <w:left w:val="single" w:sz="4" w:space="0" w:color="auto"/>
              <w:right w:val="double" w:sz="4" w:space="0" w:color="auto"/>
            </w:tcBorders>
          </w:tcPr>
          <w:p w14:paraId="2B8A16F9" w14:textId="77777777" w:rsidR="002D5614" w:rsidRDefault="002D5614" w:rsidP="00205A7E">
            <w:pPr>
              <w:pStyle w:val="TAC"/>
            </w:pPr>
            <w:r>
              <w:t>7</w:t>
            </w:r>
          </w:p>
        </w:tc>
      </w:tr>
      <w:tr w:rsidR="002D5614" w:rsidRPr="00030884" w14:paraId="4E0F5A35" w14:textId="77777777" w:rsidTr="00205A7E">
        <w:trPr>
          <w:cantSplit/>
          <w:jc w:val="center"/>
        </w:trPr>
        <w:tc>
          <w:tcPr>
            <w:tcW w:w="1065" w:type="dxa"/>
            <w:tcBorders>
              <w:left w:val="double" w:sz="4" w:space="0" w:color="auto"/>
              <w:bottom w:val="double" w:sz="4" w:space="0" w:color="auto"/>
              <w:right w:val="double" w:sz="4" w:space="0" w:color="auto"/>
            </w:tcBorders>
            <w:shd w:val="clear" w:color="auto" w:fill="auto"/>
            <w:vAlign w:val="center"/>
          </w:tcPr>
          <w:p w14:paraId="79A14401" w14:textId="77777777" w:rsidR="002D5614" w:rsidRPr="00030884" w:rsidRDefault="002D5614" w:rsidP="00205A7E">
            <w:pPr>
              <w:pStyle w:val="TAC"/>
            </w:pPr>
            <w:r w:rsidRPr="00030884">
              <w:t>20 MHz</w:t>
            </w:r>
          </w:p>
        </w:tc>
        <w:tc>
          <w:tcPr>
            <w:tcW w:w="839" w:type="dxa"/>
            <w:tcBorders>
              <w:left w:val="double" w:sz="4" w:space="0" w:color="auto"/>
              <w:bottom w:val="double" w:sz="4" w:space="0" w:color="auto"/>
              <w:right w:val="double" w:sz="4" w:space="0" w:color="auto"/>
            </w:tcBorders>
            <w:vAlign w:val="center"/>
          </w:tcPr>
          <w:p w14:paraId="3ABACA62" w14:textId="77777777" w:rsidR="002D5614" w:rsidRPr="00030884" w:rsidRDefault="002D5614" w:rsidP="00205A7E">
            <w:pPr>
              <w:pStyle w:val="TAC"/>
            </w:pPr>
            <w:r w:rsidRPr="00030884">
              <w:rPr>
                <w:color w:val="000000"/>
                <w:szCs w:val="18"/>
              </w:rPr>
              <w:t>100</w:t>
            </w:r>
          </w:p>
        </w:tc>
        <w:tc>
          <w:tcPr>
            <w:tcW w:w="1163" w:type="dxa"/>
            <w:tcBorders>
              <w:left w:val="double" w:sz="4" w:space="0" w:color="auto"/>
              <w:bottom w:val="double" w:sz="4" w:space="0" w:color="auto"/>
              <w:right w:val="single" w:sz="4" w:space="0" w:color="auto"/>
            </w:tcBorders>
          </w:tcPr>
          <w:p w14:paraId="2AF2DA5C" w14:textId="77777777" w:rsidR="002D5614" w:rsidRPr="00030884" w:rsidRDefault="002D5614" w:rsidP="00205A7E">
            <w:pPr>
              <w:pStyle w:val="TAC"/>
            </w:pPr>
            <w:r w:rsidRPr="00030884">
              <w:t>9</w:t>
            </w:r>
          </w:p>
        </w:tc>
        <w:tc>
          <w:tcPr>
            <w:tcW w:w="1164" w:type="dxa"/>
            <w:tcBorders>
              <w:left w:val="single" w:sz="4" w:space="0" w:color="auto"/>
              <w:bottom w:val="double" w:sz="4" w:space="0" w:color="auto"/>
            </w:tcBorders>
          </w:tcPr>
          <w:p w14:paraId="41AFBD36" w14:textId="77777777" w:rsidR="002D5614" w:rsidRPr="00030884" w:rsidRDefault="002D5614" w:rsidP="00205A7E">
            <w:pPr>
              <w:pStyle w:val="TAC"/>
            </w:pPr>
            <w:r>
              <w:t>12</w:t>
            </w:r>
          </w:p>
        </w:tc>
        <w:tc>
          <w:tcPr>
            <w:tcW w:w="1164" w:type="dxa"/>
            <w:tcBorders>
              <w:bottom w:val="double" w:sz="4" w:space="0" w:color="auto"/>
            </w:tcBorders>
          </w:tcPr>
          <w:p w14:paraId="0DFA8687" w14:textId="77777777" w:rsidR="002D5614" w:rsidRPr="00030884" w:rsidRDefault="002D5614" w:rsidP="00205A7E">
            <w:pPr>
              <w:pStyle w:val="TAC"/>
            </w:pPr>
            <w:r>
              <w:t>11 (+1)</w:t>
            </w:r>
          </w:p>
        </w:tc>
        <w:tc>
          <w:tcPr>
            <w:tcW w:w="1163" w:type="dxa"/>
            <w:tcBorders>
              <w:bottom w:val="double" w:sz="4" w:space="0" w:color="auto"/>
              <w:right w:val="double" w:sz="4" w:space="0" w:color="auto"/>
            </w:tcBorders>
          </w:tcPr>
          <w:p w14:paraId="5F07AE93" w14:textId="77777777" w:rsidR="002D5614" w:rsidRPr="00030884" w:rsidRDefault="002D5614" w:rsidP="00205A7E">
            <w:pPr>
              <w:pStyle w:val="TAC"/>
            </w:pPr>
            <w:r>
              <w:t>12</w:t>
            </w:r>
          </w:p>
        </w:tc>
        <w:tc>
          <w:tcPr>
            <w:tcW w:w="1082" w:type="dxa"/>
            <w:tcBorders>
              <w:bottom w:val="double" w:sz="4" w:space="0" w:color="auto"/>
              <w:right w:val="single" w:sz="4" w:space="0" w:color="auto"/>
            </w:tcBorders>
          </w:tcPr>
          <w:p w14:paraId="44C12CD2" w14:textId="77777777" w:rsidR="002D5614" w:rsidRDefault="002D5614" w:rsidP="00205A7E">
            <w:pPr>
              <w:pStyle w:val="TAC"/>
            </w:pPr>
            <w:r w:rsidRPr="00030884">
              <w:t>5</w:t>
            </w:r>
          </w:p>
        </w:tc>
        <w:tc>
          <w:tcPr>
            <w:tcW w:w="1246" w:type="dxa"/>
            <w:tcBorders>
              <w:left w:val="single" w:sz="4" w:space="0" w:color="auto"/>
              <w:bottom w:val="double" w:sz="4" w:space="0" w:color="auto"/>
              <w:right w:val="single" w:sz="4" w:space="0" w:color="auto"/>
            </w:tcBorders>
          </w:tcPr>
          <w:p w14:paraId="41E151F3" w14:textId="77777777" w:rsidR="002D5614" w:rsidRDefault="002D5614" w:rsidP="00205A7E">
            <w:pPr>
              <w:pStyle w:val="TAC"/>
            </w:pPr>
            <w:r>
              <w:t>6</w:t>
            </w:r>
          </w:p>
        </w:tc>
        <w:tc>
          <w:tcPr>
            <w:tcW w:w="1164" w:type="dxa"/>
            <w:tcBorders>
              <w:left w:val="single" w:sz="4" w:space="0" w:color="auto"/>
              <w:bottom w:val="double" w:sz="4" w:space="0" w:color="auto"/>
              <w:right w:val="double" w:sz="4" w:space="0" w:color="auto"/>
            </w:tcBorders>
          </w:tcPr>
          <w:p w14:paraId="7C11B310" w14:textId="77777777" w:rsidR="002D5614" w:rsidRDefault="002D5614" w:rsidP="00205A7E">
            <w:pPr>
              <w:pStyle w:val="TAC"/>
            </w:pPr>
            <w:r>
              <w:t>7</w:t>
            </w:r>
          </w:p>
        </w:tc>
      </w:tr>
    </w:tbl>
    <w:p w14:paraId="3E048496" w14:textId="77777777" w:rsidR="002D5614" w:rsidRDefault="002D5614" w:rsidP="002D5614"/>
    <w:p w14:paraId="4E5F4675" w14:textId="77777777" w:rsidR="002D5614" w:rsidRDefault="002D5614" w:rsidP="002D5614">
      <w:pPr>
        <w:pStyle w:val="Heading2"/>
      </w:pPr>
      <w:r>
        <w:t>PUSCH resource allocation</w:t>
      </w:r>
    </w:p>
    <w:p w14:paraId="381ED9C9" w14:textId="026319E7" w:rsidR="002D5614" w:rsidRDefault="002D5614" w:rsidP="002D5614">
      <w:r w:rsidRPr="002E2CD2">
        <w:t xml:space="preserve">The </w:t>
      </w:r>
      <w:r>
        <w:t xml:space="preserve">Rel-14 resource allocation for PUSCH is described in section 8.1 of </w:t>
      </w:r>
      <w:r>
        <w:fldChar w:fldCharType="begin"/>
      </w:r>
      <w:r>
        <w:instrText xml:space="preserve"> REF _Ref505974664 \r \h </w:instrText>
      </w:r>
      <w:r>
        <w:fldChar w:fldCharType="separate"/>
      </w:r>
      <w:r w:rsidR="00725BFD">
        <w:t>[3]</w:t>
      </w:r>
      <w:r>
        <w:fldChar w:fldCharType="end"/>
      </w:r>
      <w:r>
        <w:t xml:space="preserve"> and is summarized in </w:t>
      </w:r>
      <w:r>
        <w:fldChar w:fldCharType="begin"/>
      </w:r>
      <w:r>
        <w:instrText xml:space="preserve"> REF _Ref505979387 \h </w:instrText>
      </w:r>
      <w:r>
        <w:fldChar w:fldCharType="separate"/>
      </w:r>
      <w:r w:rsidR="00725BFD">
        <w:t xml:space="preserve">Table </w:t>
      </w:r>
      <w:r w:rsidR="00725BFD">
        <w:rPr>
          <w:noProof/>
        </w:rPr>
        <w:t>7</w:t>
      </w:r>
      <w:r>
        <w:fldChar w:fldCharType="end"/>
      </w:r>
      <w:r>
        <w:t xml:space="preserve">. </w:t>
      </w:r>
    </w:p>
    <w:p w14:paraId="1295C159" w14:textId="37F3327F" w:rsidR="002D5614" w:rsidRDefault="002D5614" w:rsidP="002D5614">
      <w:pPr>
        <w:pStyle w:val="Caption"/>
        <w:keepNext/>
      </w:pPr>
      <w:bookmarkStart w:id="248" w:name="_Ref505979387"/>
      <w:r>
        <w:lastRenderedPageBreak/>
        <w:t xml:space="preserve">Table </w:t>
      </w:r>
      <w:r w:rsidR="0092669D">
        <w:fldChar w:fldCharType="begin"/>
      </w:r>
      <w:r w:rsidR="0092669D">
        <w:instrText xml:space="preserve"> SEQ Table \* ARABIC </w:instrText>
      </w:r>
      <w:r w:rsidR="0092669D">
        <w:fldChar w:fldCharType="separate"/>
      </w:r>
      <w:r w:rsidR="00725BFD">
        <w:rPr>
          <w:noProof/>
        </w:rPr>
        <w:t>7</w:t>
      </w:r>
      <w:r w:rsidR="0092669D">
        <w:rPr>
          <w:noProof/>
        </w:rPr>
        <w:fldChar w:fldCharType="end"/>
      </w:r>
      <w:bookmarkEnd w:id="248"/>
      <w:r>
        <w:t>: Resource allocation for PUSCH</w:t>
      </w:r>
    </w:p>
    <w:tbl>
      <w:tblPr>
        <w:tblStyle w:val="TableGrid"/>
        <w:tblW w:w="9766" w:type="dxa"/>
        <w:tblBorders>
          <w:top w:val="double" w:sz="4" w:space="0" w:color="auto"/>
          <w:left w:val="double" w:sz="4" w:space="0" w:color="auto"/>
          <w:bottom w:val="double" w:sz="4" w:space="0" w:color="auto"/>
          <w:right w:val="double" w:sz="4" w:space="0" w:color="auto"/>
          <w:insideV w:val="double" w:sz="4" w:space="0" w:color="auto"/>
        </w:tblBorders>
        <w:tblLook w:val="04A0" w:firstRow="1" w:lastRow="0" w:firstColumn="1" w:lastColumn="0" w:noHBand="0" w:noVBand="1"/>
      </w:tblPr>
      <w:tblGrid>
        <w:gridCol w:w="1129"/>
        <w:gridCol w:w="4318"/>
        <w:gridCol w:w="4319"/>
      </w:tblGrid>
      <w:tr w:rsidR="002D5614" w14:paraId="090864C3" w14:textId="77777777" w:rsidTr="00205A7E">
        <w:trPr>
          <w:trHeight w:val="148"/>
        </w:trPr>
        <w:tc>
          <w:tcPr>
            <w:tcW w:w="1129" w:type="dxa"/>
            <w:shd w:val="clear" w:color="auto" w:fill="D5DCE4" w:themeFill="text2" w:themeFillTint="33"/>
          </w:tcPr>
          <w:p w14:paraId="16273832" w14:textId="77777777" w:rsidR="002D5614" w:rsidRPr="00175FFC" w:rsidRDefault="002D5614" w:rsidP="00205A7E">
            <w:pPr>
              <w:keepNext/>
              <w:keepLines/>
              <w:spacing w:after="0"/>
              <w:rPr>
                <w:b/>
                <w:sz w:val="20"/>
              </w:rPr>
            </w:pPr>
          </w:p>
        </w:tc>
        <w:tc>
          <w:tcPr>
            <w:tcW w:w="4318" w:type="dxa"/>
            <w:shd w:val="clear" w:color="auto" w:fill="D5DCE4" w:themeFill="text2" w:themeFillTint="33"/>
          </w:tcPr>
          <w:p w14:paraId="79A386DD" w14:textId="77777777" w:rsidR="002D5614" w:rsidRPr="00175FFC" w:rsidRDefault="002D5614" w:rsidP="00205A7E">
            <w:pPr>
              <w:keepNext/>
              <w:keepLines/>
              <w:spacing w:after="0"/>
              <w:jc w:val="center"/>
              <w:rPr>
                <w:b/>
                <w:sz w:val="20"/>
              </w:rPr>
            </w:pPr>
            <w:r w:rsidRPr="00175FFC">
              <w:rPr>
                <w:b/>
                <w:sz w:val="20"/>
              </w:rPr>
              <w:t>1.4 MHz BL/CE UE</w:t>
            </w:r>
          </w:p>
        </w:tc>
        <w:tc>
          <w:tcPr>
            <w:tcW w:w="4319" w:type="dxa"/>
            <w:shd w:val="clear" w:color="auto" w:fill="D5DCE4" w:themeFill="text2" w:themeFillTint="33"/>
          </w:tcPr>
          <w:p w14:paraId="1179CF0A" w14:textId="77777777" w:rsidR="002D5614" w:rsidRPr="00175FFC" w:rsidRDefault="002D5614" w:rsidP="00205A7E">
            <w:pPr>
              <w:keepNext/>
              <w:keepLines/>
              <w:spacing w:after="0"/>
              <w:jc w:val="center"/>
              <w:rPr>
                <w:b/>
                <w:sz w:val="20"/>
              </w:rPr>
            </w:pPr>
            <w:r>
              <w:rPr>
                <w:b/>
                <w:sz w:val="20"/>
              </w:rPr>
              <w:t>5 MHz BL/</w:t>
            </w:r>
            <w:r w:rsidRPr="00175FFC">
              <w:rPr>
                <w:b/>
                <w:sz w:val="20"/>
              </w:rPr>
              <w:t>CE UE</w:t>
            </w:r>
          </w:p>
        </w:tc>
      </w:tr>
      <w:tr w:rsidR="002D5614" w14:paraId="750E1B93" w14:textId="77777777" w:rsidTr="00205A7E">
        <w:tc>
          <w:tcPr>
            <w:tcW w:w="1129" w:type="dxa"/>
            <w:shd w:val="clear" w:color="auto" w:fill="D5DCE4" w:themeFill="text2" w:themeFillTint="33"/>
          </w:tcPr>
          <w:p w14:paraId="220E542C" w14:textId="77777777" w:rsidR="002D5614" w:rsidRPr="008723C5" w:rsidRDefault="002D5614" w:rsidP="00205A7E">
            <w:pPr>
              <w:keepNext/>
              <w:keepLines/>
              <w:spacing w:after="0"/>
              <w:rPr>
                <w:sz w:val="20"/>
              </w:rPr>
            </w:pPr>
            <w:r w:rsidRPr="008723C5">
              <w:rPr>
                <w:sz w:val="20"/>
              </w:rPr>
              <w:t>CE mode A</w:t>
            </w:r>
            <w:r>
              <w:rPr>
                <w:sz w:val="20"/>
              </w:rPr>
              <w:t xml:space="preserve"> DCI format 6-0A</w:t>
            </w:r>
          </w:p>
        </w:tc>
        <w:tc>
          <w:tcPr>
            <w:tcW w:w="4318" w:type="dxa"/>
          </w:tcPr>
          <w:p w14:paraId="1ABFF2D4" w14:textId="77777777" w:rsidR="002D5614" w:rsidRDefault="002D5614" w:rsidP="00205A7E">
            <w:pPr>
              <w:keepNext/>
              <w:keepLines/>
              <w:spacing w:after="0"/>
              <w:rPr>
                <w:sz w:val="20"/>
              </w:rPr>
            </w:pPr>
            <w:r w:rsidRPr="00F62243">
              <w:rPr>
                <w:b/>
                <w:sz w:val="20"/>
              </w:rPr>
              <w:t>Uplink resource allocation type 0</w:t>
            </w:r>
            <w:r>
              <w:rPr>
                <w:sz w:val="20"/>
              </w:rPr>
              <w:t xml:space="preserve"> with resource block assignment field composed of:</w:t>
            </w:r>
          </w:p>
          <w:p w14:paraId="50D3767F" w14:textId="77777777" w:rsidR="002D5614" w:rsidRDefault="002D5614" w:rsidP="00205A7E">
            <w:pPr>
              <w:pStyle w:val="ListParagraph"/>
              <w:keepNext/>
              <w:keepLines/>
              <w:numPr>
                <w:ilvl w:val="0"/>
                <w:numId w:val="24"/>
              </w:numPr>
              <w:spacing w:after="0"/>
              <w:ind w:left="357" w:hanging="357"/>
              <w:rPr>
                <w:sz w:val="20"/>
              </w:rPr>
            </w:pPr>
            <w:r>
              <w:rPr>
                <w:sz w:val="20"/>
              </w:rPr>
              <w:t>Narrowband index</w:t>
            </w:r>
          </w:p>
          <w:p w14:paraId="5B75CAEA" w14:textId="77777777" w:rsidR="002D5614" w:rsidRPr="00CD1FD1" w:rsidRDefault="002D5614" w:rsidP="00205A7E">
            <w:pPr>
              <w:pStyle w:val="ListParagraph"/>
              <w:keepNext/>
              <w:keepLines/>
              <w:numPr>
                <w:ilvl w:val="0"/>
                <w:numId w:val="24"/>
              </w:numPr>
              <w:spacing w:after="0"/>
              <w:ind w:left="357" w:hanging="357"/>
              <w:rPr>
                <w:sz w:val="20"/>
              </w:rPr>
            </w:pPr>
            <w:r>
              <w:rPr>
                <w:sz w:val="20"/>
              </w:rPr>
              <w:t>R</w:t>
            </w:r>
            <w:r w:rsidRPr="00CD1FD1">
              <w:rPr>
                <w:sz w:val="20"/>
              </w:rPr>
              <w:t>esource indication value (</w:t>
            </w:r>
            <w:r w:rsidRPr="004C336C">
              <w:rPr>
                <w:b/>
                <w:sz w:val="20"/>
              </w:rPr>
              <w:t>RIV</w:t>
            </w:r>
            <w:r w:rsidRPr="00CD1FD1">
              <w:rPr>
                <w:sz w:val="20"/>
              </w:rPr>
              <w:t>)</w:t>
            </w:r>
            <w:r>
              <w:rPr>
                <w:sz w:val="20"/>
              </w:rPr>
              <w:t xml:space="preserve"> corresponding to a starting PRB and number of contiguously allocated PRBs within the narrowband</w:t>
            </w:r>
          </w:p>
        </w:tc>
        <w:tc>
          <w:tcPr>
            <w:tcW w:w="4319" w:type="dxa"/>
          </w:tcPr>
          <w:p w14:paraId="50F6589C" w14:textId="77777777" w:rsidR="002D5614" w:rsidRDefault="002D5614" w:rsidP="00205A7E">
            <w:pPr>
              <w:keepNext/>
              <w:keepLines/>
              <w:spacing w:after="0"/>
              <w:rPr>
                <w:sz w:val="20"/>
              </w:rPr>
            </w:pPr>
            <w:r>
              <w:rPr>
                <w:sz w:val="20"/>
              </w:rPr>
              <w:t>Either of:</w:t>
            </w:r>
          </w:p>
          <w:p w14:paraId="15B23E34" w14:textId="77777777" w:rsidR="002D5614" w:rsidRDefault="002D5614" w:rsidP="00205A7E">
            <w:pPr>
              <w:keepNext/>
              <w:keepLines/>
              <w:spacing w:after="0"/>
              <w:rPr>
                <w:sz w:val="20"/>
              </w:rPr>
            </w:pPr>
            <w:r w:rsidRPr="00F62243">
              <w:rPr>
                <w:b/>
                <w:sz w:val="20"/>
              </w:rPr>
              <w:t>Uplink resource allocation type 0</w:t>
            </w:r>
            <w:r>
              <w:rPr>
                <w:sz w:val="20"/>
              </w:rPr>
              <w:t xml:space="preserve"> with resource block assignment field composed of:</w:t>
            </w:r>
          </w:p>
          <w:p w14:paraId="72090916" w14:textId="77777777" w:rsidR="002D5614" w:rsidRDefault="002D5614" w:rsidP="00205A7E">
            <w:pPr>
              <w:pStyle w:val="ListParagraph"/>
              <w:keepNext/>
              <w:keepLines/>
              <w:numPr>
                <w:ilvl w:val="0"/>
                <w:numId w:val="24"/>
              </w:numPr>
              <w:spacing w:after="0"/>
              <w:ind w:left="357" w:hanging="357"/>
              <w:rPr>
                <w:sz w:val="20"/>
              </w:rPr>
            </w:pPr>
            <w:r>
              <w:rPr>
                <w:sz w:val="20"/>
              </w:rPr>
              <w:t>Narrowband index</w:t>
            </w:r>
          </w:p>
          <w:p w14:paraId="5FAE73AC" w14:textId="77777777" w:rsidR="002D5614" w:rsidRDefault="002D5614" w:rsidP="00205A7E">
            <w:pPr>
              <w:pStyle w:val="ListParagraph"/>
              <w:keepNext/>
              <w:keepLines/>
              <w:numPr>
                <w:ilvl w:val="0"/>
                <w:numId w:val="24"/>
              </w:numPr>
              <w:spacing w:after="0"/>
              <w:ind w:left="357" w:hanging="357"/>
              <w:rPr>
                <w:sz w:val="20"/>
              </w:rPr>
            </w:pPr>
            <w:r w:rsidRPr="004C336C">
              <w:rPr>
                <w:b/>
                <w:sz w:val="20"/>
              </w:rPr>
              <w:t>RIV</w:t>
            </w:r>
            <w:r w:rsidRPr="00AE6860">
              <w:rPr>
                <w:sz w:val="20"/>
              </w:rPr>
              <w:t xml:space="preserve"> corresponding to a starting PRB and number of contiguously allocated PRBs within the narrowband </w:t>
            </w:r>
          </w:p>
          <w:p w14:paraId="42986FDE" w14:textId="77777777" w:rsidR="002D5614" w:rsidRPr="00AE6860" w:rsidRDefault="002D5614" w:rsidP="00205A7E">
            <w:pPr>
              <w:keepNext/>
              <w:keepLines/>
              <w:spacing w:after="0"/>
              <w:rPr>
                <w:sz w:val="20"/>
              </w:rPr>
            </w:pPr>
            <w:r w:rsidRPr="00F62243">
              <w:rPr>
                <w:b/>
                <w:sz w:val="20"/>
              </w:rPr>
              <w:t>Uplink resource allocation type 4</w:t>
            </w:r>
            <w:r>
              <w:rPr>
                <w:sz w:val="20"/>
              </w:rPr>
              <w:t>,</w:t>
            </w:r>
            <w:r w:rsidRPr="00AE6860">
              <w:rPr>
                <w:sz w:val="20"/>
              </w:rPr>
              <w:t xml:space="preserve"> </w:t>
            </w:r>
            <w:r>
              <w:rPr>
                <w:sz w:val="20"/>
              </w:rPr>
              <w:t>specifying a starting PRB at either the first or fourth PRB in a narrowband and a group of contiguously allocated resource blocks in groups of 3 PRBs, via a</w:t>
            </w:r>
            <w:r w:rsidRPr="00AE6860">
              <w:rPr>
                <w:sz w:val="20"/>
              </w:rPr>
              <w:t xml:space="preserve"> </w:t>
            </w:r>
            <w:r>
              <w:rPr>
                <w:sz w:val="20"/>
              </w:rPr>
              <w:t>resource blo</w:t>
            </w:r>
            <w:r w:rsidRPr="00AE6860">
              <w:rPr>
                <w:sz w:val="20"/>
              </w:rPr>
              <w:t xml:space="preserve">ck assignment field composed of </w:t>
            </w:r>
          </w:p>
          <w:p w14:paraId="6D085E14" w14:textId="77777777" w:rsidR="002D5614" w:rsidRPr="00625AC4" w:rsidRDefault="002D5614" w:rsidP="00205A7E">
            <w:pPr>
              <w:pStyle w:val="ListParagraph"/>
              <w:keepNext/>
              <w:keepLines/>
              <w:numPr>
                <w:ilvl w:val="0"/>
                <w:numId w:val="27"/>
              </w:numPr>
              <w:spacing w:after="0"/>
              <w:ind w:left="357" w:hanging="357"/>
              <w:rPr>
                <w:sz w:val="20"/>
              </w:rPr>
            </w:pPr>
            <w:r w:rsidRPr="00625AC4">
              <w:rPr>
                <w:sz w:val="20"/>
              </w:rPr>
              <w:t>Resource block group indication value (RBGIV)</w:t>
            </w:r>
            <w:r>
              <w:rPr>
                <w:sz w:val="20"/>
              </w:rPr>
              <w:t xml:space="preserve"> corresponding to a starting resource block group and a set of </w:t>
            </w:r>
            <w:r w:rsidRPr="00625AC4">
              <w:rPr>
                <w:sz w:val="20"/>
              </w:rPr>
              <w:t>consecutive uplink resource block groups of resource blocks</w:t>
            </w:r>
          </w:p>
        </w:tc>
      </w:tr>
      <w:tr w:rsidR="002D5614" w14:paraId="085236DB" w14:textId="77777777" w:rsidTr="00205A7E">
        <w:tc>
          <w:tcPr>
            <w:tcW w:w="1129" w:type="dxa"/>
            <w:shd w:val="clear" w:color="auto" w:fill="D5DCE4" w:themeFill="text2" w:themeFillTint="33"/>
          </w:tcPr>
          <w:p w14:paraId="3944CF6A" w14:textId="77777777" w:rsidR="002D5614" w:rsidRPr="008723C5" w:rsidRDefault="002D5614" w:rsidP="00205A7E">
            <w:pPr>
              <w:keepNext/>
              <w:keepLines/>
              <w:spacing w:after="0"/>
              <w:rPr>
                <w:sz w:val="20"/>
              </w:rPr>
            </w:pPr>
            <w:r w:rsidRPr="008723C5">
              <w:rPr>
                <w:sz w:val="20"/>
              </w:rPr>
              <w:t>CE mode B</w:t>
            </w:r>
            <w:r>
              <w:rPr>
                <w:sz w:val="20"/>
              </w:rPr>
              <w:t xml:space="preserve"> DCI format 6-0B</w:t>
            </w:r>
          </w:p>
        </w:tc>
        <w:tc>
          <w:tcPr>
            <w:tcW w:w="4318" w:type="dxa"/>
          </w:tcPr>
          <w:p w14:paraId="1FD5D679" w14:textId="77777777" w:rsidR="002D5614" w:rsidRDefault="002D5614" w:rsidP="00205A7E">
            <w:pPr>
              <w:pStyle w:val="B2"/>
              <w:spacing w:after="0"/>
              <w:ind w:left="0" w:firstLine="0"/>
              <w:rPr>
                <w:sz w:val="20"/>
              </w:rPr>
            </w:pPr>
            <w:r>
              <w:rPr>
                <w:sz w:val="20"/>
              </w:rPr>
              <w:t>Uplink resource allocation type 2 with resource block assignment field composed of:</w:t>
            </w:r>
          </w:p>
          <w:p w14:paraId="6991A5F0" w14:textId="77777777" w:rsidR="002D5614" w:rsidRDefault="002D5614" w:rsidP="00205A7E">
            <w:pPr>
              <w:pStyle w:val="B2"/>
              <w:numPr>
                <w:ilvl w:val="0"/>
                <w:numId w:val="26"/>
              </w:numPr>
              <w:spacing w:after="0"/>
              <w:ind w:left="357" w:hanging="357"/>
              <w:rPr>
                <w:sz w:val="20"/>
              </w:rPr>
            </w:pPr>
            <w:r>
              <w:rPr>
                <w:sz w:val="20"/>
              </w:rPr>
              <w:t>Narrowband index</w:t>
            </w:r>
          </w:p>
          <w:p w14:paraId="1397DB0E" w14:textId="77777777" w:rsidR="002D5614" w:rsidRPr="008F5F25" w:rsidRDefault="002D5614" w:rsidP="00205A7E">
            <w:pPr>
              <w:pStyle w:val="B2"/>
              <w:numPr>
                <w:ilvl w:val="0"/>
                <w:numId w:val="26"/>
              </w:numPr>
              <w:spacing w:after="0"/>
              <w:ind w:left="357" w:hanging="357"/>
              <w:rPr>
                <w:sz w:val="20"/>
              </w:rPr>
            </w:pPr>
            <w:r w:rsidRPr="008F5F25">
              <w:rPr>
                <w:sz w:val="20"/>
              </w:rPr>
              <w:t>Indication either 1 or 2 allocated resource blocks within the narrowband in the set {0, 1, 2, 3, 4, 5, 0 and 1, 2 and 3}</w:t>
            </w:r>
          </w:p>
        </w:tc>
        <w:tc>
          <w:tcPr>
            <w:tcW w:w="4319" w:type="dxa"/>
          </w:tcPr>
          <w:p w14:paraId="43BB6D05" w14:textId="77777777" w:rsidR="002D5614" w:rsidRPr="00D86137" w:rsidRDefault="002D5614" w:rsidP="00205A7E">
            <w:pPr>
              <w:keepNext/>
              <w:keepLines/>
              <w:spacing w:after="0"/>
              <w:rPr>
                <w:sz w:val="20"/>
              </w:rPr>
            </w:pPr>
            <w:r>
              <w:rPr>
                <w:sz w:val="20"/>
              </w:rPr>
              <w:t>N/A</w:t>
            </w:r>
          </w:p>
        </w:tc>
      </w:tr>
    </w:tbl>
    <w:p w14:paraId="550F2176" w14:textId="77777777" w:rsidR="002D5614" w:rsidRDefault="002D5614" w:rsidP="002D5614"/>
    <w:p w14:paraId="408384A8" w14:textId="39686AFC" w:rsidR="002D5614" w:rsidRDefault="002D5614" w:rsidP="002D5614">
      <w:r>
        <w:t xml:space="preserve">The uplink resource allocation type 0 used in CE mode A uses the same RIV design as for the downlink resource allocation, as shown in </w:t>
      </w:r>
      <w:r>
        <w:fldChar w:fldCharType="begin"/>
      </w:r>
      <w:r>
        <w:instrText xml:space="preserve"> REF _Ref505980787 \h </w:instrText>
      </w:r>
      <w:r>
        <w:fldChar w:fldCharType="separate"/>
      </w:r>
      <w:r w:rsidR="00725BFD">
        <w:t xml:space="preserve">Figure </w:t>
      </w:r>
      <w:r w:rsidR="00725BFD">
        <w:rPr>
          <w:noProof/>
        </w:rPr>
        <w:t>6</w:t>
      </w:r>
      <w:r>
        <w:fldChar w:fldCharType="end"/>
      </w:r>
      <w:r>
        <w:t xml:space="preserve">. For CE mode B, the uplink resource allocation is as shown in </w:t>
      </w:r>
      <w:r>
        <w:fldChar w:fldCharType="begin"/>
      </w:r>
      <w:r>
        <w:instrText xml:space="preserve"> REF _Ref506292029 \h </w:instrText>
      </w:r>
      <w:r>
        <w:fldChar w:fldCharType="separate"/>
      </w:r>
      <w:r w:rsidR="00725BFD">
        <w:t xml:space="preserve">Figure </w:t>
      </w:r>
      <w:r w:rsidR="00725BFD">
        <w:rPr>
          <w:noProof/>
        </w:rPr>
        <w:t>8</w:t>
      </w:r>
      <w:r>
        <w:fldChar w:fldCharType="end"/>
      </w:r>
      <w:r>
        <w:t xml:space="preserve">. </w:t>
      </w:r>
    </w:p>
    <w:p w14:paraId="1085043D" w14:textId="77777777" w:rsidR="002D5614" w:rsidRDefault="002D5614" w:rsidP="002D5614">
      <w:pPr>
        <w:keepNext/>
        <w:jc w:val="center"/>
      </w:pPr>
      <w:r>
        <w:rPr>
          <w:noProof/>
        </w:rPr>
        <w:drawing>
          <wp:inline distT="0" distB="0" distL="0" distR="0" wp14:anchorId="39C8A7A6" wp14:editId="61D45FF9">
            <wp:extent cx="2257425" cy="676275"/>
            <wp:effectExtent l="0" t="0" r="9525" b="9525"/>
            <wp:docPr id="1" name="Picture 1" descr="C:\Users\erauae\Desktop\Studies\STAR\Flexible starting PRB\PUSCH type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C:\Users\erauae\Desktop\Studies\STAR\Flexible starting PRB\PUSCH type 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57425" cy="676275"/>
                    </a:xfrm>
                    <a:prstGeom prst="rect">
                      <a:avLst/>
                    </a:prstGeom>
                    <a:noFill/>
                    <a:ln>
                      <a:noFill/>
                    </a:ln>
                  </pic:spPr>
                </pic:pic>
              </a:graphicData>
            </a:graphic>
          </wp:inline>
        </w:drawing>
      </w:r>
    </w:p>
    <w:p w14:paraId="5A005E84" w14:textId="6FE0C7B8" w:rsidR="002D5614" w:rsidRDefault="002D5614" w:rsidP="002D5614">
      <w:pPr>
        <w:pStyle w:val="Caption"/>
      </w:pPr>
      <w:bookmarkStart w:id="249" w:name="_Ref506292029"/>
      <w:r>
        <w:t xml:space="preserve">Figure </w:t>
      </w:r>
      <w:r w:rsidR="0092669D">
        <w:fldChar w:fldCharType="begin"/>
      </w:r>
      <w:r w:rsidR="0092669D">
        <w:instrText xml:space="preserve"> SEQ Figure \* ARABIC </w:instrText>
      </w:r>
      <w:r w:rsidR="0092669D">
        <w:fldChar w:fldCharType="separate"/>
      </w:r>
      <w:r w:rsidR="00725BFD">
        <w:rPr>
          <w:noProof/>
        </w:rPr>
        <w:t>8</w:t>
      </w:r>
      <w:r w:rsidR="0092669D">
        <w:rPr>
          <w:noProof/>
        </w:rPr>
        <w:fldChar w:fldCharType="end"/>
      </w:r>
      <w:bookmarkEnd w:id="249"/>
      <w:r>
        <w:t>: PUSCH CE mode B type 2 resource block assignment.</w:t>
      </w:r>
    </w:p>
    <w:p w14:paraId="5B36DD4C" w14:textId="0C40857A" w:rsidR="002D5614" w:rsidRDefault="002D5614" w:rsidP="002D5614">
      <w:r>
        <w:t>Th</w:t>
      </w:r>
      <w:r w:rsidRPr="004B2627">
        <w:rPr>
          <w:lang w:val="en-GB" w:eastAsia="zh-CN"/>
        </w:rPr>
        <w:t xml:space="preserve">e size of the resource block assignment field </w:t>
      </w:r>
      <w:r>
        <w:rPr>
          <w:lang w:val="en-GB" w:eastAsia="zh-CN"/>
        </w:rPr>
        <w:t xml:space="preserve">for DCI format 6.0A and 6-0B </w:t>
      </w:r>
      <w:r w:rsidRPr="004B2627">
        <w:rPr>
          <w:lang w:val="en-GB" w:eastAsia="zh-CN"/>
        </w:rPr>
        <w:t xml:space="preserve">is given in </w:t>
      </w:r>
      <w:r>
        <w:rPr>
          <w:lang w:val="en-GB" w:eastAsia="zh-CN"/>
        </w:rPr>
        <w:fldChar w:fldCharType="begin"/>
      </w:r>
      <w:r>
        <w:rPr>
          <w:lang w:val="en-GB" w:eastAsia="zh-CN"/>
        </w:rPr>
        <w:instrText xml:space="preserve"> REF _Ref506308947 \h </w:instrText>
      </w:r>
      <w:r>
        <w:rPr>
          <w:lang w:val="en-GB" w:eastAsia="zh-CN"/>
        </w:rPr>
      </w:r>
      <w:r>
        <w:rPr>
          <w:lang w:val="en-GB" w:eastAsia="zh-CN"/>
        </w:rPr>
        <w:fldChar w:fldCharType="separate"/>
      </w:r>
      <w:r w:rsidR="00725BFD">
        <w:t xml:space="preserve">Table </w:t>
      </w:r>
      <w:r w:rsidR="00725BFD">
        <w:rPr>
          <w:noProof/>
        </w:rPr>
        <w:t>8</w:t>
      </w:r>
      <w:r>
        <w:rPr>
          <w:lang w:val="en-GB" w:eastAsia="zh-CN"/>
        </w:rPr>
        <w:fldChar w:fldCharType="end"/>
      </w:r>
    </w:p>
    <w:p w14:paraId="62D4834D" w14:textId="75DD3199" w:rsidR="002D5614" w:rsidRDefault="002D5614" w:rsidP="002D5614">
      <w:pPr>
        <w:pStyle w:val="Caption"/>
        <w:keepNext/>
      </w:pPr>
      <w:bookmarkStart w:id="250" w:name="_Ref506308947"/>
      <w:r>
        <w:t xml:space="preserve">Table </w:t>
      </w:r>
      <w:r w:rsidR="0092669D">
        <w:fldChar w:fldCharType="begin"/>
      </w:r>
      <w:r w:rsidR="0092669D">
        <w:instrText xml:space="preserve"> SEQ Table \* ARABIC </w:instrText>
      </w:r>
      <w:r w:rsidR="0092669D">
        <w:fldChar w:fldCharType="separate"/>
      </w:r>
      <w:r w:rsidR="00725BFD">
        <w:rPr>
          <w:noProof/>
        </w:rPr>
        <w:t>8</w:t>
      </w:r>
      <w:r w:rsidR="0092669D">
        <w:rPr>
          <w:noProof/>
        </w:rPr>
        <w:fldChar w:fldCharType="end"/>
      </w:r>
      <w:bookmarkEnd w:id="250"/>
      <w:r>
        <w:rPr>
          <w:noProof/>
        </w:rPr>
        <w:t>: Size of uplink resource block assignemnt field in DCI format 6-0A and 6-0B for different system bandwidth.</w:t>
      </w:r>
    </w:p>
    <w:tbl>
      <w:tblPr>
        <w:tblW w:w="6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275"/>
        <w:gridCol w:w="1560"/>
        <w:gridCol w:w="1560"/>
      </w:tblGrid>
      <w:tr w:rsidR="002D5614" w:rsidRPr="001F56A6" w14:paraId="233BE77A" w14:textId="77777777" w:rsidTr="00205A7E">
        <w:trPr>
          <w:cantSplit/>
          <w:jc w:val="center"/>
        </w:trPr>
        <w:tc>
          <w:tcPr>
            <w:tcW w:w="1701" w:type="dxa"/>
            <w:tcBorders>
              <w:bottom w:val="double" w:sz="4" w:space="0" w:color="auto"/>
              <w:right w:val="double" w:sz="4" w:space="0" w:color="auto"/>
            </w:tcBorders>
            <w:shd w:val="clear" w:color="auto" w:fill="E0E0E0"/>
            <w:vAlign w:val="center"/>
          </w:tcPr>
          <w:p w14:paraId="0DBE00E2" w14:textId="77777777" w:rsidR="002D5614" w:rsidRPr="00030884" w:rsidRDefault="002D5614" w:rsidP="00205A7E">
            <w:pPr>
              <w:pStyle w:val="TAH"/>
              <w:rPr>
                <w:bCs/>
              </w:rPr>
            </w:pPr>
            <w:r w:rsidRPr="00030884">
              <w:rPr>
                <w:bCs/>
              </w:rPr>
              <w:t>System bandwidth</w:t>
            </w:r>
          </w:p>
        </w:tc>
        <w:tc>
          <w:tcPr>
            <w:tcW w:w="1275" w:type="dxa"/>
            <w:tcBorders>
              <w:bottom w:val="double" w:sz="4" w:space="0" w:color="auto"/>
            </w:tcBorders>
            <w:shd w:val="clear" w:color="auto" w:fill="E0E0E0"/>
            <w:vAlign w:val="center"/>
          </w:tcPr>
          <w:p w14:paraId="4D34A4C2" w14:textId="77777777" w:rsidR="002D5614" w:rsidRPr="00030884" w:rsidRDefault="002D5614" w:rsidP="00205A7E">
            <w:pPr>
              <w:pStyle w:val="TAH"/>
              <w:rPr>
                <w:bCs/>
              </w:rPr>
            </w:pPr>
            <w:r w:rsidRPr="00030884">
              <w:rPr>
                <w:color w:val="000000"/>
                <w:szCs w:val="18"/>
              </w:rPr>
              <w:t>Total number of PRBs</w:t>
            </w:r>
          </w:p>
        </w:tc>
        <w:tc>
          <w:tcPr>
            <w:tcW w:w="1560" w:type="dxa"/>
            <w:tcBorders>
              <w:left w:val="double" w:sz="4" w:space="0" w:color="auto"/>
              <w:bottom w:val="double" w:sz="4" w:space="0" w:color="auto"/>
            </w:tcBorders>
            <w:shd w:val="clear" w:color="auto" w:fill="E0E0E0"/>
            <w:vAlign w:val="center"/>
          </w:tcPr>
          <w:p w14:paraId="77A18B54" w14:textId="77777777" w:rsidR="002D5614" w:rsidRPr="00030884" w:rsidRDefault="002D5614" w:rsidP="00205A7E">
            <w:pPr>
              <w:pStyle w:val="TAH"/>
              <w:rPr>
                <w:bCs/>
              </w:rPr>
            </w:pPr>
            <w:r>
              <w:rPr>
                <w:bCs/>
              </w:rPr>
              <w:t>CE mode A</w:t>
            </w:r>
            <w:r>
              <w:rPr>
                <w:bCs/>
              </w:rPr>
              <w:br/>
              <w:t xml:space="preserve"> DCI format 6-0A</w:t>
            </w:r>
            <w:r w:rsidRPr="00030884">
              <w:rPr>
                <w:bCs/>
              </w:rPr>
              <w:br/>
              <w:t>[bits]</w:t>
            </w:r>
          </w:p>
        </w:tc>
        <w:tc>
          <w:tcPr>
            <w:tcW w:w="1560" w:type="dxa"/>
            <w:tcBorders>
              <w:left w:val="double" w:sz="4" w:space="0" w:color="auto"/>
              <w:bottom w:val="double" w:sz="4" w:space="0" w:color="auto"/>
              <w:right w:val="double" w:sz="4" w:space="0" w:color="auto"/>
            </w:tcBorders>
            <w:shd w:val="clear" w:color="auto" w:fill="E0E0E0"/>
          </w:tcPr>
          <w:p w14:paraId="0B6B0217" w14:textId="77777777" w:rsidR="002D5614" w:rsidRPr="00030884" w:rsidRDefault="002D5614" w:rsidP="00205A7E">
            <w:pPr>
              <w:pStyle w:val="TAH"/>
              <w:rPr>
                <w:bCs/>
              </w:rPr>
            </w:pPr>
            <w:r>
              <w:rPr>
                <w:bCs/>
              </w:rPr>
              <w:t>CE mode B</w:t>
            </w:r>
            <w:r>
              <w:rPr>
                <w:bCs/>
              </w:rPr>
              <w:br/>
              <w:t xml:space="preserve"> DCI format 6-0B</w:t>
            </w:r>
            <w:r w:rsidRPr="00030884">
              <w:rPr>
                <w:bCs/>
              </w:rPr>
              <w:br/>
              <w:t>[bits]</w:t>
            </w:r>
          </w:p>
        </w:tc>
      </w:tr>
      <w:tr w:rsidR="002D5614" w:rsidRPr="00030884" w14:paraId="04AF41A8" w14:textId="77777777" w:rsidTr="00205A7E">
        <w:trPr>
          <w:cantSplit/>
          <w:jc w:val="center"/>
        </w:trPr>
        <w:tc>
          <w:tcPr>
            <w:tcW w:w="1701" w:type="dxa"/>
            <w:tcBorders>
              <w:right w:val="double" w:sz="4" w:space="0" w:color="auto"/>
            </w:tcBorders>
            <w:shd w:val="clear" w:color="auto" w:fill="auto"/>
            <w:vAlign w:val="center"/>
          </w:tcPr>
          <w:p w14:paraId="4C2BF2DC" w14:textId="77777777" w:rsidR="002D5614" w:rsidRPr="00030884" w:rsidRDefault="002D5614" w:rsidP="00205A7E">
            <w:pPr>
              <w:pStyle w:val="TAC"/>
            </w:pPr>
            <w:r w:rsidRPr="00030884">
              <w:t>1.4 MHz</w:t>
            </w:r>
          </w:p>
        </w:tc>
        <w:tc>
          <w:tcPr>
            <w:tcW w:w="1275" w:type="dxa"/>
            <w:vAlign w:val="center"/>
          </w:tcPr>
          <w:p w14:paraId="4D10BCF6" w14:textId="77777777" w:rsidR="002D5614" w:rsidRPr="00030884" w:rsidRDefault="002D5614" w:rsidP="00205A7E">
            <w:pPr>
              <w:pStyle w:val="TAC"/>
            </w:pPr>
            <w:r w:rsidRPr="00030884">
              <w:rPr>
                <w:color w:val="000000"/>
                <w:szCs w:val="18"/>
              </w:rPr>
              <w:t>6</w:t>
            </w:r>
          </w:p>
        </w:tc>
        <w:tc>
          <w:tcPr>
            <w:tcW w:w="1560" w:type="dxa"/>
            <w:tcBorders>
              <w:left w:val="double" w:sz="4" w:space="0" w:color="auto"/>
            </w:tcBorders>
          </w:tcPr>
          <w:p w14:paraId="162DF772" w14:textId="77777777" w:rsidR="002D5614" w:rsidRPr="00030884" w:rsidRDefault="002D5614" w:rsidP="00205A7E">
            <w:pPr>
              <w:pStyle w:val="TAC"/>
              <w:rPr>
                <w:b/>
              </w:rPr>
            </w:pPr>
            <w:r w:rsidRPr="00030884">
              <w:t>5</w:t>
            </w:r>
          </w:p>
        </w:tc>
        <w:tc>
          <w:tcPr>
            <w:tcW w:w="1560" w:type="dxa"/>
            <w:tcBorders>
              <w:left w:val="double" w:sz="4" w:space="0" w:color="auto"/>
              <w:right w:val="double" w:sz="4" w:space="0" w:color="auto"/>
            </w:tcBorders>
          </w:tcPr>
          <w:p w14:paraId="7C7A8E3A" w14:textId="77777777" w:rsidR="002D5614" w:rsidRPr="00030884" w:rsidRDefault="002D5614" w:rsidP="00205A7E">
            <w:pPr>
              <w:pStyle w:val="TAC"/>
            </w:pPr>
            <w:r w:rsidRPr="00030884">
              <w:t>3</w:t>
            </w:r>
          </w:p>
        </w:tc>
      </w:tr>
      <w:tr w:rsidR="002D5614" w:rsidRPr="00030884" w14:paraId="6D96BED3" w14:textId="77777777" w:rsidTr="00205A7E">
        <w:trPr>
          <w:cantSplit/>
          <w:jc w:val="center"/>
        </w:trPr>
        <w:tc>
          <w:tcPr>
            <w:tcW w:w="1701" w:type="dxa"/>
            <w:tcBorders>
              <w:right w:val="double" w:sz="4" w:space="0" w:color="auto"/>
            </w:tcBorders>
            <w:shd w:val="clear" w:color="auto" w:fill="auto"/>
            <w:vAlign w:val="center"/>
          </w:tcPr>
          <w:p w14:paraId="527683CD" w14:textId="77777777" w:rsidR="002D5614" w:rsidRPr="00030884" w:rsidRDefault="002D5614" w:rsidP="00205A7E">
            <w:pPr>
              <w:pStyle w:val="TAC"/>
            </w:pPr>
            <w:r w:rsidRPr="00030884">
              <w:t>3 MHz</w:t>
            </w:r>
          </w:p>
        </w:tc>
        <w:tc>
          <w:tcPr>
            <w:tcW w:w="1275" w:type="dxa"/>
            <w:vAlign w:val="center"/>
          </w:tcPr>
          <w:p w14:paraId="27AB2B09" w14:textId="77777777" w:rsidR="002D5614" w:rsidRPr="00030884" w:rsidRDefault="002D5614" w:rsidP="00205A7E">
            <w:pPr>
              <w:pStyle w:val="TAC"/>
            </w:pPr>
            <w:r w:rsidRPr="00030884">
              <w:rPr>
                <w:color w:val="000000"/>
                <w:szCs w:val="18"/>
              </w:rPr>
              <w:t>12</w:t>
            </w:r>
          </w:p>
        </w:tc>
        <w:tc>
          <w:tcPr>
            <w:tcW w:w="1560" w:type="dxa"/>
            <w:tcBorders>
              <w:left w:val="double" w:sz="4" w:space="0" w:color="auto"/>
            </w:tcBorders>
          </w:tcPr>
          <w:p w14:paraId="6C9ED0C2" w14:textId="77777777" w:rsidR="002D5614" w:rsidRPr="00030884" w:rsidRDefault="002D5614" w:rsidP="00205A7E">
            <w:pPr>
              <w:pStyle w:val="TAC"/>
            </w:pPr>
            <w:r w:rsidRPr="00030884">
              <w:t>6</w:t>
            </w:r>
          </w:p>
        </w:tc>
        <w:tc>
          <w:tcPr>
            <w:tcW w:w="1560" w:type="dxa"/>
            <w:tcBorders>
              <w:left w:val="double" w:sz="4" w:space="0" w:color="auto"/>
              <w:right w:val="double" w:sz="4" w:space="0" w:color="auto"/>
            </w:tcBorders>
          </w:tcPr>
          <w:p w14:paraId="23BB902C" w14:textId="77777777" w:rsidR="002D5614" w:rsidRPr="00030884" w:rsidRDefault="002D5614" w:rsidP="00205A7E">
            <w:pPr>
              <w:pStyle w:val="TAC"/>
            </w:pPr>
            <w:r w:rsidRPr="00030884">
              <w:t>4</w:t>
            </w:r>
          </w:p>
        </w:tc>
      </w:tr>
      <w:tr w:rsidR="002D5614" w:rsidRPr="00030884" w14:paraId="0F4C857F" w14:textId="77777777" w:rsidTr="00205A7E">
        <w:trPr>
          <w:cantSplit/>
          <w:jc w:val="center"/>
        </w:trPr>
        <w:tc>
          <w:tcPr>
            <w:tcW w:w="1701" w:type="dxa"/>
            <w:tcBorders>
              <w:right w:val="double" w:sz="4" w:space="0" w:color="auto"/>
            </w:tcBorders>
            <w:shd w:val="clear" w:color="auto" w:fill="auto"/>
            <w:vAlign w:val="center"/>
          </w:tcPr>
          <w:p w14:paraId="4B23927F" w14:textId="77777777" w:rsidR="002D5614" w:rsidRPr="00030884" w:rsidRDefault="002D5614" w:rsidP="00205A7E">
            <w:pPr>
              <w:pStyle w:val="TAC"/>
            </w:pPr>
            <w:r w:rsidRPr="00030884">
              <w:t>5 MHz</w:t>
            </w:r>
          </w:p>
        </w:tc>
        <w:tc>
          <w:tcPr>
            <w:tcW w:w="1275" w:type="dxa"/>
            <w:vAlign w:val="center"/>
          </w:tcPr>
          <w:p w14:paraId="2EB7F711" w14:textId="77777777" w:rsidR="002D5614" w:rsidRPr="00030884" w:rsidRDefault="002D5614" w:rsidP="00205A7E">
            <w:pPr>
              <w:pStyle w:val="TAC"/>
            </w:pPr>
            <w:r w:rsidRPr="00030884">
              <w:rPr>
                <w:color w:val="000000"/>
                <w:szCs w:val="18"/>
              </w:rPr>
              <w:t>25</w:t>
            </w:r>
          </w:p>
        </w:tc>
        <w:tc>
          <w:tcPr>
            <w:tcW w:w="1560" w:type="dxa"/>
            <w:tcBorders>
              <w:left w:val="double" w:sz="4" w:space="0" w:color="auto"/>
            </w:tcBorders>
          </w:tcPr>
          <w:p w14:paraId="628E145A" w14:textId="77777777" w:rsidR="002D5614" w:rsidRPr="00030884" w:rsidRDefault="002D5614" w:rsidP="00205A7E">
            <w:pPr>
              <w:pStyle w:val="TAC"/>
            </w:pPr>
            <w:r w:rsidRPr="00030884">
              <w:t>7</w:t>
            </w:r>
          </w:p>
        </w:tc>
        <w:tc>
          <w:tcPr>
            <w:tcW w:w="1560" w:type="dxa"/>
            <w:tcBorders>
              <w:left w:val="double" w:sz="4" w:space="0" w:color="auto"/>
              <w:right w:val="double" w:sz="4" w:space="0" w:color="auto"/>
            </w:tcBorders>
          </w:tcPr>
          <w:p w14:paraId="7FAF9DFA" w14:textId="77777777" w:rsidR="002D5614" w:rsidRPr="00030884" w:rsidRDefault="002D5614" w:rsidP="00205A7E">
            <w:pPr>
              <w:pStyle w:val="TAC"/>
            </w:pPr>
            <w:r w:rsidRPr="00030884">
              <w:t>5</w:t>
            </w:r>
          </w:p>
        </w:tc>
      </w:tr>
      <w:tr w:rsidR="002D5614" w:rsidRPr="00030884" w14:paraId="646FF6BA" w14:textId="77777777" w:rsidTr="00205A7E">
        <w:trPr>
          <w:cantSplit/>
          <w:jc w:val="center"/>
        </w:trPr>
        <w:tc>
          <w:tcPr>
            <w:tcW w:w="1701" w:type="dxa"/>
            <w:tcBorders>
              <w:right w:val="double" w:sz="4" w:space="0" w:color="auto"/>
            </w:tcBorders>
            <w:shd w:val="clear" w:color="auto" w:fill="auto"/>
            <w:vAlign w:val="center"/>
          </w:tcPr>
          <w:p w14:paraId="05AA0E6A" w14:textId="77777777" w:rsidR="002D5614" w:rsidRPr="00030884" w:rsidRDefault="002D5614" w:rsidP="00205A7E">
            <w:pPr>
              <w:pStyle w:val="TAC"/>
            </w:pPr>
            <w:r w:rsidRPr="00030884">
              <w:t>10 MHz</w:t>
            </w:r>
          </w:p>
        </w:tc>
        <w:tc>
          <w:tcPr>
            <w:tcW w:w="1275" w:type="dxa"/>
            <w:vAlign w:val="center"/>
          </w:tcPr>
          <w:p w14:paraId="67F7B19A" w14:textId="77777777" w:rsidR="002D5614" w:rsidRPr="00030884" w:rsidRDefault="002D5614" w:rsidP="00205A7E">
            <w:pPr>
              <w:pStyle w:val="TAC"/>
            </w:pPr>
            <w:r w:rsidRPr="00030884">
              <w:rPr>
                <w:color w:val="000000"/>
                <w:szCs w:val="18"/>
              </w:rPr>
              <w:t>50</w:t>
            </w:r>
          </w:p>
        </w:tc>
        <w:tc>
          <w:tcPr>
            <w:tcW w:w="1560" w:type="dxa"/>
            <w:tcBorders>
              <w:left w:val="double" w:sz="4" w:space="0" w:color="auto"/>
            </w:tcBorders>
          </w:tcPr>
          <w:p w14:paraId="24654A85" w14:textId="77777777" w:rsidR="002D5614" w:rsidRPr="00030884" w:rsidRDefault="002D5614" w:rsidP="00205A7E">
            <w:pPr>
              <w:pStyle w:val="TAC"/>
            </w:pPr>
            <w:r w:rsidRPr="00030884">
              <w:t>8</w:t>
            </w:r>
          </w:p>
        </w:tc>
        <w:tc>
          <w:tcPr>
            <w:tcW w:w="1560" w:type="dxa"/>
            <w:tcBorders>
              <w:left w:val="double" w:sz="4" w:space="0" w:color="auto"/>
              <w:right w:val="double" w:sz="4" w:space="0" w:color="auto"/>
            </w:tcBorders>
          </w:tcPr>
          <w:p w14:paraId="5CE8A788" w14:textId="77777777" w:rsidR="002D5614" w:rsidRPr="00030884" w:rsidRDefault="002D5614" w:rsidP="00205A7E">
            <w:pPr>
              <w:pStyle w:val="TAC"/>
            </w:pPr>
            <w:r w:rsidRPr="00030884">
              <w:t>6</w:t>
            </w:r>
          </w:p>
        </w:tc>
      </w:tr>
      <w:tr w:rsidR="002D5614" w:rsidRPr="00030884" w14:paraId="3BBDE0BF" w14:textId="77777777" w:rsidTr="00205A7E">
        <w:trPr>
          <w:cantSplit/>
          <w:jc w:val="center"/>
        </w:trPr>
        <w:tc>
          <w:tcPr>
            <w:tcW w:w="1701" w:type="dxa"/>
            <w:tcBorders>
              <w:right w:val="double" w:sz="4" w:space="0" w:color="auto"/>
            </w:tcBorders>
            <w:shd w:val="clear" w:color="auto" w:fill="auto"/>
            <w:vAlign w:val="center"/>
          </w:tcPr>
          <w:p w14:paraId="3659341C" w14:textId="77777777" w:rsidR="002D5614" w:rsidRPr="00030884" w:rsidRDefault="002D5614" w:rsidP="00205A7E">
            <w:pPr>
              <w:pStyle w:val="TAC"/>
            </w:pPr>
            <w:r w:rsidRPr="00030884">
              <w:t>15 MHz</w:t>
            </w:r>
          </w:p>
        </w:tc>
        <w:tc>
          <w:tcPr>
            <w:tcW w:w="1275" w:type="dxa"/>
            <w:vAlign w:val="center"/>
          </w:tcPr>
          <w:p w14:paraId="1730D74A" w14:textId="77777777" w:rsidR="002D5614" w:rsidRPr="00030884" w:rsidRDefault="002D5614" w:rsidP="00205A7E">
            <w:pPr>
              <w:pStyle w:val="TAC"/>
            </w:pPr>
            <w:r w:rsidRPr="00030884">
              <w:rPr>
                <w:color w:val="000000"/>
                <w:szCs w:val="18"/>
              </w:rPr>
              <w:t>75</w:t>
            </w:r>
          </w:p>
        </w:tc>
        <w:tc>
          <w:tcPr>
            <w:tcW w:w="1560" w:type="dxa"/>
            <w:tcBorders>
              <w:left w:val="double" w:sz="4" w:space="0" w:color="auto"/>
            </w:tcBorders>
          </w:tcPr>
          <w:p w14:paraId="47BFDF70" w14:textId="77777777" w:rsidR="002D5614" w:rsidRPr="00030884" w:rsidRDefault="002D5614" w:rsidP="00205A7E">
            <w:pPr>
              <w:pStyle w:val="TAC"/>
            </w:pPr>
            <w:r w:rsidRPr="00030884">
              <w:t>9</w:t>
            </w:r>
          </w:p>
        </w:tc>
        <w:tc>
          <w:tcPr>
            <w:tcW w:w="1560" w:type="dxa"/>
            <w:tcBorders>
              <w:left w:val="double" w:sz="4" w:space="0" w:color="auto"/>
              <w:right w:val="double" w:sz="4" w:space="0" w:color="auto"/>
            </w:tcBorders>
          </w:tcPr>
          <w:p w14:paraId="26EBB650" w14:textId="77777777" w:rsidR="002D5614" w:rsidRPr="00030884" w:rsidRDefault="002D5614" w:rsidP="00205A7E">
            <w:pPr>
              <w:pStyle w:val="TAC"/>
            </w:pPr>
            <w:r w:rsidRPr="00030884">
              <w:t>7</w:t>
            </w:r>
          </w:p>
        </w:tc>
      </w:tr>
      <w:tr w:rsidR="002D5614" w:rsidRPr="00030884" w14:paraId="349F0507" w14:textId="77777777" w:rsidTr="00205A7E">
        <w:trPr>
          <w:cantSplit/>
          <w:jc w:val="center"/>
        </w:trPr>
        <w:tc>
          <w:tcPr>
            <w:tcW w:w="1701" w:type="dxa"/>
            <w:tcBorders>
              <w:right w:val="double" w:sz="4" w:space="0" w:color="auto"/>
            </w:tcBorders>
            <w:shd w:val="clear" w:color="auto" w:fill="auto"/>
            <w:vAlign w:val="center"/>
          </w:tcPr>
          <w:p w14:paraId="7E63D660" w14:textId="77777777" w:rsidR="002D5614" w:rsidRPr="00030884" w:rsidRDefault="002D5614" w:rsidP="00205A7E">
            <w:pPr>
              <w:pStyle w:val="TAC"/>
            </w:pPr>
            <w:r w:rsidRPr="00030884">
              <w:t>20 MHz</w:t>
            </w:r>
          </w:p>
        </w:tc>
        <w:tc>
          <w:tcPr>
            <w:tcW w:w="1275" w:type="dxa"/>
            <w:vAlign w:val="center"/>
          </w:tcPr>
          <w:p w14:paraId="57241CA8" w14:textId="77777777" w:rsidR="002D5614" w:rsidRPr="00030884" w:rsidRDefault="002D5614" w:rsidP="00205A7E">
            <w:pPr>
              <w:pStyle w:val="TAC"/>
            </w:pPr>
            <w:r w:rsidRPr="00030884">
              <w:rPr>
                <w:color w:val="000000"/>
                <w:szCs w:val="18"/>
              </w:rPr>
              <w:t>100</w:t>
            </w:r>
          </w:p>
        </w:tc>
        <w:tc>
          <w:tcPr>
            <w:tcW w:w="1560" w:type="dxa"/>
            <w:tcBorders>
              <w:left w:val="double" w:sz="4" w:space="0" w:color="auto"/>
            </w:tcBorders>
          </w:tcPr>
          <w:p w14:paraId="1F6C3592" w14:textId="77777777" w:rsidR="002D5614" w:rsidRPr="00030884" w:rsidRDefault="002D5614" w:rsidP="00205A7E">
            <w:pPr>
              <w:pStyle w:val="TAC"/>
            </w:pPr>
            <w:r w:rsidRPr="00030884">
              <w:t>9</w:t>
            </w:r>
          </w:p>
        </w:tc>
        <w:tc>
          <w:tcPr>
            <w:tcW w:w="1560" w:type="dxa"/>
            <w:tcBorders>
              <w:left w:val="double" w:sz="4" w:space="0" w:color="auto"/>
              <w:right w:val="double" w:sz="4" w:space="0" w:color="auto"/>
            </w:tcBorders>
          </w:tcPr>
          <w:p w14:paraId="154FE208" w14:textId="77777777" w:rsidR="002D5614" w:rsidRPr="00030884" w:rsidRDefault="002D5614" w:rsidP="00205A7E">
            <w:pPr>
              <w:pStyle w:val="TAC"/>
            </w:pPr>
            <w:r w:rsidRPr="00030884">
              <w:t>7</w:t>
            </w:r>
          </w:p>
        </w:tc>
      </w:tr>
    </w:tbl>
    <w:p w14:paraId="5390B941" w14:textId="77777777" w:rsidR="002D5614" w:rsidRDefault="002D5614" w:rsidP="002D5614"/>
    <w:p w14:paraId="721FD90A" w14:textId="77777777" w:rsidR="002D5614" w:rsidRPr="003B791D" w:rsidRDefault="002D5614" w:rsidP="002D5614">
      <w:pPr>
        <w:rPr>
          <w:lang w:val="en-GB" w:eastAsia="zh-CN"/>
        </w:rPr>
      </w:pPr>
    </w:p>
    <w:p w14:paraId="4AD63A16" w14:textId="77777777" w:rsidR="002D5614" w:rsidRDefault="002D5614" w:rsidP="002D5614">
      <w:pPr>
        <w:pStyle w:val="Heading2"/>
      </w:pPr>
      <w:r>
        <w:lastRenderedPageBreak/>
        <w:t>Resource allocation type 2</w:t>
      </w:r>
    </w:p>
    <w:p w14:paraId="177F35BC" w14:textId="0BB2F256" w:rsidR="002D5614" w:rsidRPr="004B740C" w:rsidRDefault="002D5614" w:rsidP="002D5614">
      <w:pPr>
        <w:rPr>
          <w:lang w:eastAsia="zh-CN"/>
        </w:rPr>
      </w:pPr>
      <w:r>
        <w:rPr>
          <w:lang w:eastAsia="zh-CN"/>
        </w:rPr>
        <w:t>For Resource allocation type 2,</w:t>
      </w:r>
      <w:r w:rsidRPr="004B740C">
        <w:rPr>
          <w:lang w:eastAsia="zh-CN"/>
        </w:rPr>
        <w:t xml:space="preserve"> </w:t>
      </w:r>
      <w:r>
        <w:rPr>
          <w:lang w:eastAsia="zh-CN"/>
        </w:rPr>
        <w:t xml:space="preserve">a </w:t>
      </w:r>
      <w:r w:rsidRPr="004B740C">
        <w:rPr>
          <w:lang w:eastAsia="zh-CN"/>
        </w:rPr>
        <w:t>Resource Indication Value (RIV) is computed as</w:t>
      </w:r>
      <w:r w:rsidRPr="004B740C">
        <w:t xml:space="preserve"> </w:t>
      </w:r>
      <w:r w:rsidRPr="004B740C">
        <w:fldChar w:fldCharType="begin"/>
      </w:r>
      <w:r w:rsidRPr="004B740C">
        <w:instrText xml:space="preserve"> REF _Ref505974664 \r \h  \* MERGEFORMAT </w:instrText>
      </w:r>
      <w:r w:rsidRPr="004B740C">
        <w:fldChar w:fldCharType="separate"/>
      </w:r>
      <w:r w:rsidR="00725BFD">
        <w:t>[3]</w:t>
      </w:r>
      <w:r w:rsidRPr="004B740C">
        <w:fldChar w:fldCharType="end"/>
      </w:r>
    </w:p>
    <w:p w14:paraId="063D3BAD" w14:textId="77777777" w:rsidR="002D5614" w:rsidRPr="004B740C" w:rsidRDefault="002D5614" w:rsidP="002D5614">
      <w:pPr>
        <w:keepNext/>
        <w:keepLines/>
        <w:ind w:left="567"/>
      </w:pPr>
      <w:r w:rsidRPr="004B740C">
        <w:t xml:space="preserve">if </w:t>
      </w:r>
      <w:r w:rsidRPr="004B740C">
        <w:rPr>
          <w:rFonts w:ascii="Times New Roman" w:eastAsia="Times New Roman" w:hAnsi="Times New Roman" w:cs="Times New Roman"/>
          <w:position w:val="-12"/>
          <w:sz w:val="20"/>
          <w:szCs w:val="20"/>
          <w:lang w:val="en-GB" w:eastAsia="en-GB"/>
        </w:rPr>
        <w:object w:dxaOrig="2220" w:dyaOrig="435" w14:anchorId="13C6AB2B">
          <v:shape id="_x0000_i1026" type="#_x0000_t75" style="width:112.1pt;height:21.75pt" o:ole="">
            <v:imagedata r:id="rId17" o:title=""/>
          </v:shape>
          <o:OLEObject Type="Embed" ProgID="Equation.3" ShapeID="_x0000_i1026" DrawAspect="Content" ObjectID="_1587562962" r:id="rId18"/>
        </w:object>
      </w:r>
      <w:r w:rsidRPr="004B740C">
        <w:t xml:space="preserve"> then</w:t>
      </w:r>
    </w:p>
    <w:p w14:paraId="76270F2C" w14:textId="77777777" w:rsidR="002D5614" w:rsidRPr="004B740C" w:rsidRDefault="002D5614" w:rsidP="002D5614">
      <w:pPr>
        <w:keepNext/>
        <w:keepLines/>
        <w:ind w:left="567" w:firstLine="567"/>
        <w:jc w:val="both"/>
      </w:pPr>
      <w:r w:rsidRPr="004B740C">
        <w:rPr>
          <w:rFonts w:ascii="Times New Roman" w:eastAsia="Times New Roman" w:hAnsi="Times New Roman" w:cs="Times New Roman"/>
          <w:position w:val="-12"/>
          <w:sz w:val="20"/>
          <w:szCs w:val="20"/>
          <w:lang w:val="en-GB" w:eastAsia="en-GB"/>
        </w:rPr>
        <w:object w:dxaOrig="2970" w:dyaOrig="390" w14:anchorId="47A156D4">
          <v:shape id="_x0000_i1027" type="#_x0000_t75" style="width:148.75pt;height:19.7pt" o:ole="">
            <v:imagedata r:id="rId19" o:title=""/>
          </v:shape>
          <o:OLEObject Type="Embed" ProgID="Equation.3" ShapeID="_x0000_i1027" DrawAspect="Content" ObjectID="_1587562963" r:id="rId20"/>
        </w:object>
      </w:r>
    </w:p>
    <w:p w14:paraId="537DF515" w14:textId="77777777" w:rsidR="002D5614" w:rsidRPr="004B740C" w:rsidRDefault="002D5614" w:rsidP="002D5614">
      <w:pPr>
        <w:keepNext/>
        <w:keepLines/>
        <w:ind w:left="567"/>
        <w:jc w:val="both"/>
      </w:pPr>
      <w:r w:rsidRPr="004B740C">
        <w:t xml:space="preserve">else </w:t>
      </w:r>
    </w:p>
    <w:p w14:paraId="22300843" w14:textId="77777777" w:rsidR="002D5614" w:rsidRPr="003B791D" w:rsidRDefault="002D5614" w:rsidP="002D5614">
      <w:pPr>
        <w:keepNext/>
        <w:keepLines/>
        <w:ind w:left="567" w:firstLine="567"/>
        <w:jc w:val="both"/>
        <w:rPr>
          <w:lang w:val="en-GB" w:eastAsia="zh-CN"/>
        </w:rPr>
      </w:pPr>
      <w:r w:rsidRPr="004B740C">
        <w:rPr>
          <w:rFonts w:ascii="Times New Roman" w:eastAsia="Times New Roman" w:hAnsi="Times New Roman" w:cs="Times New Roman"/>
          <w:position w:val="-12"/>
          <w:sz w:val="20"/>
          <w:szCs w:val="20"/>
          <w:lang w:val="en-GB" w:eastAsia="en-GB"/>
        </w:rPr>
        <w:object w:dxaOrig="4770" w:dyaOrig="390" w14:anchorId="138CE46D">
          <v:shape id="_x0000_i1028" type="#_x0000_t75" style="width:238.4pt;height:19.7pt" o:ole="">
            <v:imagedata r:id="rId21" o:title=""/>
          </v:shape>
          <o:OLEObject Type="Embed" ProgID="Equation.3" ShapeID="_x0000_i1028" DrawAspect="Content" ObjectID="_1587562964" r:id="rId22"/>
        </w:object>
      </w:r>
    </w:p>
    <w:p w14:paraId="27B9BFD1" w14:textId="1558AE25" w:rsidR="002D5614" w:rsidRPr="00870EE9" w:rsidRDefault="002D5614" w:rsidP="002D5614">
      <w:pPr>
        <w:rPr>
          <w:lang w:eastAsia="zh-CN"/>
        </w:rPr>
      </w:pPr>
      <w:r w:rsidRPr="004B740C">
        <w:t xml:space="preserve">For BL/CE UEs, </w:t>
      </w:r>
      <w:r w:rsidRPr="004B740C">
        <w:rPr>
          <w:rFonts w:ascii="Times New Roman" w:eastAsia="Times New Roman" w:hAnsi="Times New Roman" w:cs="Times New Roman"/>
          <w:position w:val="-10"/>
          <w:sz w:val="20"/>
          <w:szCs w:val="20"/>
          <w:lang w:val="en-GB" w:eastAsia="en-GB"/>
        </w:rPr>
        <w:object w:dxaOrig="870" w:dyaOrig="375" w14:anchorId="1F23E22C">
          <v:shape id="_x0000_i1029" type="#_x0000_t75" style="width:43.45pt;height:19pt" o:ole="">
            <v:imagedata r:id="rId23" o:title=""/>
          </v:shape>
          <o:OLEObject Type="Embed" ProgID="Equation.3" ShapeID="_x0000_i1029" DrawAspect="Content" ObjectID="_1587562965" r:id="rId24"/>
        </w:object>
      </w:r>
      <w:r w:rsidRPr="004B740C">
        <w:t xml:space="preserve"> and </w:t>
      </w:r>
      <w:r w:rsidRPr="004B740C">
        <w:rPr>
          <w:rFonts w:ascii="Times New Roman" w:eastAsia="Times New Roman" w:hAnsi="Times New Roman" w:cs="Times New Roman"/>
          <w:position w:val="-12"/>
          <w:sz w:val="20"/>
          <w:szCs w:val="20"/>
          <w:lang w:val="en-GB" w:eastAsia="en-GB"/>
        </w:rPr>
        <w:object w:dxaOrig="945" w:dyaOrig="390" w14:anchorId="3EA86AC8">
          <v:shape id="_x0000_i1030" type="#_x0000_t75" style="width:47.55pt;height:19.7pt" o:ole="">
            <v:imagedata r:id="rId25" o:title=""/>
          </v:shape>
          <o:OLEObject Type="Embed" ProgID="Equation.3" ShapeID="_x0000_i1030" DrawAspect="Content" ObjectID="_1587562966" r:id="rId26"/>
        </w:object>
      </w:r>
      <w:r w:rsidRPr="00870EE9">
        <w:t>is used</w:t>
      </w:r>
      <w:r>
        <w:rPr>
          <w:rFonts w:ascii="Times New Roman" w:eastAsia="Times New Roman" w:hAnsi="Times New Roman" w:cs="Times New Roman"/>
          <w:sz w:val="20"/>
          <w:szCs w:val="20"/>
          <w:lang w:val="en-GB" w:eastAsia="en-GB"/>
        </w:rPr>
        <w:t xml:space="preserve"> </w:t>
      </w:r>
      <w:r w:rsidRPr="004B740C">
        <w:rPr>
          <w:lang w:val="en-GB"/>
        </w:rPr>
        <w:t>w</w:t>
      </w:r>
      <w:r w:rsidRPr="004B740C">
        <w:t xml:space="preserve">hen computing a RIV to be used for allocating </w:t>
      </w:r>
      <w:r w:rsidRPr="004B740C">
        <w:rPr>
          <w:lang w:eastAsia="zh-CN"/>
        </w:rPr>
        <w:t xml:space="preserve">consecutive groups of {1, 2, 3, 4, 5, 6} PRBs at starting PRB </w:t>
      </w:r>
      <w:r w:rsidRPr="004B740C">
        <w:rPr>
          <w:position w:val="-12"/>
        </w:rPr>
        <w:object w:dxaOrig="660" w:dyaOrig="360" w14:anchorId="5E15485B">
          <v:shape id="_x0000_i1031" type="#_x0000_t75" style="width:31.9pt;height:18.35pt" o:ole="">
            <v:imagedata r:id="rId13" o:title=""/>
          </v:shape>
          <o:OLEObject Type="Embed" ProgID="Equation.3" ShapeID="_x0000_i1031" DrawAspect="Content" ObjectID="_1587562967" r:id="rId27"/>
        </w:object>
      </w:r>
      <w:r w:rsidRPr="004B740C">
        <w:t xml:space="preserve"> in {0, 1, 2, 3, 4, 5} </w:t>
      </w:r>
      <w:r w:rsidRPr="004B740C">
        <w:rPr>
          <w:lang w:eastAsia="zh-CN"/>
        </w:rPr>
        <w:t xml:space="preserve">within the indicated narrowband. This reduces the required size of the resource block assignment field to the values as indicated in </w:t>
      </w:r>
      <w:r w:rsidRPr="004B740C">
        <w:rPr>
          <w:lang w:eastAsia="zh-CN"/>
        </w:rPr>
        <w:fldChar w:fldCharType="begin"/>
      </w:r>
      <w:r w:rsidRPr="004B740C">
        <w:rPr>
          <w:lang w:eastAsia="zh-CN"/>
        </w:rPr>
        <w:instrText xml:space="preserve"> REF _Ref506455790 \h  \* MERGEFORMAT </w:instrText>
      </w:r>
      <w:r w:rsidRPr="004B740C">
        <w:rPr>
          <w:lang w:eastAsia="zh-CN"/>
        </w:rPr>
      </w:r>
      <w:r w:rsidRPr="004B740C">
        <w:rPr>
          <w:lang w:eastAsia="zh-CN"/>
        </w:rPr>
        <w:fldChar w:fldCharType="separate"/>
      </w:r>
      <w:r w:rsidR="00725BFD">
        <w:t xml:space="preserve">Table </w:t>
      </w:r>
      <w:r w:rsidR="00725BFD">
        <w:rPr>
          <w:noProof/>
        </w:rPr>
        <w:t>6</w:t>
      </w:r>
      <w:r w:rsidRPr="004B740C">
        <w:rPr>
          <w:lang w:eastAsia="zh-CN"/>
        </w:rPr>
        <w:fldChar w:fldCharType="end"/>
      </w:r>
      <w:r w:rsidRPr="004B740C">
        <w:rPr>
          <w:lang w:eastAsia="zh-CN"/>
        </w:rPr>
        <w:t>.</w:t>
      </w:r>
    </w:p>
    <w:p w14:paraId="1C0087B9" w14:textId="77777777" w:rsidR="002D5614" w:rsidRPr="00870EE9" w:rsidRDefault="002D5614" w:rsidP="002D5614">
      <w:pPr>
        <w:pStyle w:val="Heading3"/>
      </w:pPr>
      <w:bookmarkStart w:id="251" w:name="_Ref510601908"/>
      <w:r>
        <w:t>Extending the starting PRB</w:t>
      </w:r>
      <w:bookmarkEnd w:id="251"/>
    </w:p>
    <w:p w14:paraId="5B639308" w14:textId="50AEE962" w:rsidR="002D5614" w:rsidRPr="004417DD" w:rsidRDefault="002D5614" w:rsidP="002D5614">
      <w:pPr>
        <w:rPr>
          <w:lang w:eastAsia="zh-CN"/>
        </w:rPr>
      </w:pPr>
      <w:r w:rsidRPr="004B740C">
        <w:rPr>
          <w:lang w:eastAsia="zh-CN"/>
        </w:rPr>
        <w:t xml:space="preserve">For a flexible starting PRB of the allocation, resource allocation </w:t>
      </w:r>
      <w:r>
        <w:rPr>
          <w:lang w:eastAsia="zh-CN"/>
        </w:rPr>
        <w:t xml:space="preserve">type 2 </w:t>
      </w:r>
      <w:r w:rsidRPr="004B740C">
        <w:rPr>
          <w:lang w:eastAsia="zh-CN"/>
        </w:rPr>
        <w:t xml:space="preserve">may be used but with the starting PRB </w:t>
      </w:r>
      <w:r w:rsidRPr="004B740C">
        <w:rPr>
          <w:position w:val="-12"/>
        </w:rPr>
        <w:object w:dxaOrig="660" w:dyaOrig="360" w14:anchorId="7185B2C2">
          <v:shape id="_x0000_i1032" type="#_x0000_t75" style="width:31.9pt;height:18.35pt" o:ole="">
            <v:imagedata r:id="rId13" o:title=""/>
          </v:shape>
          <o:OLEObject Type="Embed" ProgID="Equation.3" ShapeID="_x0000_i1032" DrawAspect="Content" ObjectID="_1587562968" r:id="rId28"/>
        </w:object>
      </w:r>
      <w:r w:rsidRPr="004B740C">
        <w:t xml:space="preserve"> selected from all PRBs within</w:t>
      </w:r>
      <w:r w:rsidRPr="004B740C">
        <w:rPr>
          <w:lang w:eastAsia="zh-CN"/>
        </w:rPr>
        <w:t xml:space="preserve"> the indicated narrowband</w:t>
      </w:r>
      <w:r>
        <w:rPr>
          <w:lang w:eastAsia="zh-CN"/>
        </w:rPr>
        <w:t xml:space="preserve"> (</w:t>
      </w:r>
      <w:r>
        <w:rPr>
          <w:lang w:eastAsia="zh-CN"/>
        </w:rPr>
        <w:fldChar w:fldCharType="begin"/>
      </w:r>
      <w:r>
        <w:rPr>
          <w:lang w:eastAsia="zh-CN"/>
        </w:rPr>
        <w:instrText xml:space="preserve"> REF _Ref505974664 \r \h </w:instrText>
      </w:r>
      <w:r>
        <w:rPr>
          <w:lang w:eastAsia="zh-CN"/>
        </w:rPr>
      </w:r>
      <w:r>
        <w:rPr>
          <w:lang w:eastAsia="zh-CN"/>
        </w:rPr>
        <w:fldChar w:fldCharType="separate"/>
      </w:r>
      <w:r w:rsidR="00725BFD">
        <w:rPr>
          <w:lang w:eastAsia="zh-CN"/>
        </w:rPr>
        <w:t>[3]</w:t>
      </w:r>
      <w:r>
        <w:rPr>
          <w:lang w:eastAsia="zh-CN"/>
        </w:rPr>
        <w:fldChar w:fldCharType="end"/>
      </w:r>
      <w:r>
        <w:rPr>
          <w:lang w:eastAsia="zh-CN"/>
        </w:rPr>
        <w:fldChar w:fldCharType="begin"/>
      </w:r>
      <w:r>
        <w:rPr>
          <w:lang w:eastAsia="zh-CN"/>
        </w:rPr>
        <w:instrText xml:space="preserve"> REF _Ref510537627 \r \h </w:instrText>
      </w:r>
      <w:r>
        <w:rPr>
          <w:lang w:eastAsia="zh-CN"/>
        </w:rPr>
      </w:r>
      <w:r>
        <w:rPr>
          <w:lang w:eastAsia="zh-CN"/>
        </w:rPr>
        <w:fldChar w:fldCharType="separate"/>
      </w:r>
      <w:r w:rsidR="00725BFD">
        <w:rPr>
          <w:lang w:eastAsia="zh-CN"/>
        </w:rPr>
        <w:t>[7]</w:t>
      </w:r>
      <w:r>
        <w:rPr>
          <w:lang w:eastAsia="zh-CN"/>
        </w:rPr>
        <w:fldChar w:fldCharType="end"/>
      </w:r>
      <w:r>
        <w:rPr>
          <w:lang w:eastAsia="zh-CN"/>
        </w:rPr>
        <w:t>)</w:t>
      </w:r>
      <w:r w:rsidRPr="004B740C">
        <w:rPr>
          <w:lang w:eastAsia="zh-CN"/>
        </w:rPr>
        <w:t>.</w:t>
      </w:r>
      <w:r>
        <w:rPr>
          <w:lang w:eastAsia="zh-CN"/>
        </w:rPr>
        <w:t xml:space="preserve"> This increases the required size of the resource allocation field in the DCI by at most 1 bit, as indicated in </w:t>
      </w:r>
      <w:r>
        <w:rPr>
          <w:lang w:eastAsia="zh-CN"/>
        </w:rPr>
        <w:fldChar w:fldCharType="begin"/>
      </w:r>
      <w:r>
        <w:rPr>
          <w:lang w:eastAsia="zh-CN"/>
        </w:rPr>
        <w:instrText xml:space="preserve"> REF _Ref510536877 \h </w:instrText>
      </w:r>
      <w:r>
        <w:rPr>
          <w:lang w:eastAsia="zh-CN"/>
        </w:rPr>
      </w:r>
      <w:r>
        <w:rPr>
          <w:lang w:eastAsia="zh-CN"/>
        </w:rPr>
        <w:fldChar w:fldCharType="separate"/>
      </w:r>
      <w:r w:rsidR="00725BFD">
        <w:t xml:space="preserve">Table </w:t>
      </w:r>
      <w:r w:rsidR="00725BFD">
        <w:rPr>
          <w:noProof/>
        </w:rPr>
        <w:t>9</w:t>
      </w:r>
      <w:r>
        <w:rPr>
          <w:lang w:eastAsia="zh-CN"/>
        </w:rPr>
        <w:fldChar w:fldCharType="end"/>
      </w:r>
      <w:r>
        <w:rPr>
          <w:lang w:eastAsia="zh-CN"/>
        </w:rPr>
        <w:t>.</w:t>
      </w:r>
    </w:p>
    <w:p w14:paraId="160C770C" w14:textId="2C92620D" w:rsidR="002D5614" w:rsidRDefault="002D5614" w:rsidP="002D5614">
      <w:pPr>
        <w:pStyle w:val="Caption"/>
        <w:keepNext/>
      </w:pPr>
      <w:bookmarkStart w:id="252" w:name="_Ref510536877"/>
      <w:bookmarkStart w:id="253" w:name="_Ref510536872"/>
      <w:r>
        <w:t xml:space="preserve">Table </w:t>
      </w:r>
      <w:r w:rsidR="0092669D">
        <w:fldChar w:fldCharType="begin"/>
      </w:r>
      <w:r w:rsidR="0092669D">
        <w:instrText xml:space="preserve"> SEQ Table \* ARABIC </w:instrText>
      </w:r>
      <w:r w:rsidR="0092669D">
        <w:fldChar w:fldCharType="separate"/>
      </w:r>
      <w:r w:rsidR="00725BFD">
        <w:rPr>
          <w:noProof/>
        </w:rPr>
        <w:t>9</w:t>
      </w:r>
      <w:r w:rsidR="0092669D">
        <w:rPr>
          <w:noProof/>
        </w:rPr>
        <w:fldChar w:fldCharType="end"/>
      </w:r>
      <w:bookmarkEnd w:id="252"/>
      <w:r>
        <w:t>: Size of Resource allocation field</w:t>
      </w:r>
      <w:bookmarkEnd w:id="253"/>
      <w:r>
        <w:t xml:space="preserve"> </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8"/>
        <w:gridCol w:w="1274"/>
        <w:gridCol w:w="2261"/>
        <w:gridCol w:w="2263"/>
        <w:gridCol w:w="2263"/>
      </w:tblGrid>
      <w:tr w:rsidR="002D5614" w:rsidRPr="001F56A6" w14:paraId="722DDCE5" w14:textId="77777777" w:rsidTr="00205A7E">
        <w:trPr>
          <w:cantSplit/>
          <w:jc w:val="center"/>
        </w:trPr>
        <w:tc>
          <w:tcPr>
            <w:tcW w:w="1558" w:type="dxa"/>
            <w:tcBorders>
              <w:bottom w:val="double" w:sz="4" w:space="0" w:color="auto"/>
              <w:right w:val="double" w:sz="4" w:space="0" w:color="auto"/>
            </w:tcBorders>
            <w:shd w:val="clear" w:color="auto" w:fill="E0E0E0"/>
            <w:vAlign w:val="center"/>
          </w:tcPr>
          <w:p w14:paraId="773FB25D" w14:textId="77777777" w:rsidR="002D5614" w:rsidRPr="00030884" w:rsidRDefault="002D5614" w:rsidP="00205A7E">
            <w:pPr>
              <w:pStyle w:val="TAH"/>
              <w:rPr>
                <w:bCs/>
              </w:rPr>
            </w:pPr>
            <w:r w:rsidRPr="00030884">
              <w:rPr>
                <w:bCs/>
              </w:rPr>
              <w:t>System bandwidth</w:t>
            </w:r>
          </w:p>
        </w:tc>
        <w:tc>
          <w:tcPr>
            <w:tcW w:w="1274" w:type="dxa"/>
            <w:tcBorders>
              <w:bottom w:val="double" w:sz="4" w:space="0" w:color="auto"/>
            </w:tcBorders>
            <w:shd w:val="clear" w:color="auto" w:fill="E0E0E0"/>
            <w:vAlign w:val="center"/>
          </w:tcPr>
          <w:p w14:paraId="61AAA407" w14:textId="77777777" w:rsidR="002D5614" w:rsidRPr="00030884" w:rsidRDefault="002D5614" w:rsidP="00205A7E">
            <w:pPr>
              <w:pStyle w:val="TAH"/>
              <w:rPr>
                <w:bCs/>
              </w:rPr>
            </w:pPr>
            <w:r w:rsidRPr="00030884">
              <w:rPr>
                <w:color w:val="000000"/>
                <w:szCs w:val="18"/>
              </w:rPr>
              <w:t>Total number of PRBs</w:t>
            </w:r>
          </w:p>
        </w:tc>
        <w:tc>
          <w:tcPr>
            <w:tcW w:w="2261" w:type="dxa"/>
            <w:tcBorders>
              <w:left w:val="double" w:sz="4" w:space="0" w:color="auto"/>
              <w:bottom w:val="double" w:sz="4" w:space="0" w:color="auto"/>
            </w:tcBorders>
            <w:shd w:val="clear" w:color="auto" w:fill="E0E0E0"/>
            <w:vAlign w:val="center"/>
          </w:tcPr>
          <w:p w14:paraId="6A637F53" w14:textId="77777777" w:rsidR="002D5614" w:rsidRPr="00030884" w:rsidRDefault="002D5614" w:rsidP="00205A7E">
            <w:pPr>
              <w:pStyle w:val="TAH"/>
              <w:rPr>
                <w:bCs/>
              </w:rPr>
            </w:pPr>
            <w:r>
              <w:rPr>
                <w:bCs/>
              </w:rPr>
              <w:t>Maximum RIV value for starting PRB from all PRBS within system bandwidth</w:t>
            </w:r>
          </w:p>
        </w:tc>
        <w:tc>
          <w:tcPr>
            <w:tcW w:w="2263" w:type="dxa"/>
            <w:tcBorders>
              <w:left w:val="double" w:sz="4" w:space="0" w:color="auto"/>
              <w:bottom w:val="double" w:sz="4" w:space="0" w:color="auto"/>
              <w:right w:val="double" w:sz="4" w:space="0" w:color="auto"/>
            </w:tcBorders>
            <w:shd w:val="clear" w:color="auto" w:fill="E0E0E0"/>
            <w:vAlign w:val="center"/>
          </w:tcPr>
          <w:p w14:paraId="06188ABE" w14:textId="77777777" w:rsidR="002D5614" w:rsidRPr="00030884" w:rsidRDefault="002D5614" w:rsidP="00205A7E">
            <w:pPr>
              <w:pStyle w:val="TAH"/>
              <w:rPr>
                <w:bCs/>
              </w:rPr>
            </w:pPr>
            <w:r w:rsidRPr="00030884">
              <w:rPr>
                <w:bCs/>
              </w:rPr>
              <w:t xml:space="preserve">Required size of resource allocation field </w:t>
            </w:r>
            <w:r>
              <w:rPr>
                <w:bCs/>
              </w:rPr>
              <w:t>for RIV value</w:t>
            </w:r>
            <w:r>
              <w:rPr>
                <w:bCs/>
              </w:rPr>
              <w:br/>
            </w:r>
            <w:r w:rsidRPr="00030884">
              <w:rPr>
                <w:bCs/>
              </w:rPr>
              <w:t>[bits]</w:t>
            </w:r>
          </w:p>
        </w:tc>
        <w:tc>
          <w:tcPr>
            <w:tcW w:w="2263" w:type="dxa"/>
            <w:tcBorders>
              <w:left w:val="double" w:sz="4" w:space="0" w:color="auto"/>
              <w:bottom w:val="double" w:sz="4" w:space="0" w:color="auto"/>
              <w:right w:val="double" w:sz="4" w:space="0" w:color="auto"/>
            </w:tcBorders>
            <w:shd w:val="clear" w:color="auto" w:fill="E0E0E0"/>
            <w:vAlign w:val="center"/>
          </w:tcPr>
          <w:p w14:paraId="768F4A9A" w14:textId="77777777" w:rsidR="002D5614" w:rsidRPr="00030884" w:rsidRDefault="002D5614" w:rsidP="00205A7E">
            <w:pPr>
              <w:pStyle w:val="TAH"/>
              <w:rPr>
                <w:bCs/>
              </w:rPr>
            </w:pPr>
            <w:r w:rsidRPr="00BF64EC">
              <w:rPr>
                <w:bCs/>
                <w:i/>
              </w:rPr>
              <w:t xml:space="preserve">Size of </w:t>
            </w:r>
            <w:r>
              <w:rPr>
                <w:bCs/>
                <w:i/>
              </w:rPr>
              <w:t xml:space="preserve">Rel-14 </w:t>
            </w:r>
            <w:r w:rsidRPr="00BF64EC">
              <w:rPr>
                <w:bCs/>
                <w:i/>
              </w:rPr>
              <w:t xml:space="preserve">resource block assignment in </w:t>
            </w:r>
            <w:r w:rsidRPr="00BF64EC">
              <w:rPr>
                <w:bCs/>
                <w:i/>
              </w:rPr>
              <w:br/>
              <w:t>DCI format 6-1A</w:t>
            </w:r>
            <w:r w:rsidRPr="00BF64EC">
              <w:rPr>
                <w:bCs/>
                <w:i/>
              </w:rPr>
              <w:br/>
              <w:t xml:space="preserve">for </w:t>
            </w:r>
            <w:r>
              <w:rPr>
                <w:bCs/>
                <w:i/>
              </w:rPr>
              <w:t>1.4 MHz</w:t>
            </w:r>
            <w:r w:rsidRPr="00BF64EC">
              <w:rPr>
                <w:bCs/>
                <w:i/>
              </w:rPr>
              <w:t xml:space="preserve"> BL/CE UE</w:t>
            </w:r>
            <w:r w:rsidRPr="00BF64EC">
              <w:rPr>
                <w:bCs/>
                <w:i/>
              </w:rPr>
              <w:br/>
              <w:t>[bits]</w:t>
            </w:r>
          </w:p>
        </w:tc>
      </w:tr>
      <w:tr w:rsidR="002D5614" w:rsidRPr="00030884" w14:paraId="65295B16" w14:textId="77777777" w:rsidTr="00205A7E">
        <w:trPr>
          <w:cantSplit/>
          <w:jc w:val="center"/>
        </w:trPr>
        <w:tc>
          <w:tcPr>
            <w:tcW w:w="1558" w:type="dxa"/>
            <w:tcBorders>
              <w:right w:val="double" w:sz="4" w:space="0" w:color="auto"/>
            </w:tcBorders>
            <w:shd w:val="clear" w:color="auto" w:fill="auto"/>
            <w:vAlign w:val="center"/>
          </w:tcPr>
          <w:p w14:paraId="64802D35" w14:textId="77777777" w:rsidR="002D5614" w:rsidRPr="00030884" w:rsidRDefault="002D5614" w:rsidP="00205A7E">
            <w:pPr>
              <w:pStyle w:val="TAC"/>
            </w:pPr>
            <w:r w:rsidRPr="00030884">
              <w:t>1.4 MHz</w:t>
            </w:r>
          </w:p>
        </w:tc>
        <w:tc>
          <w:tcPr>
            <w:tcW w:w="1274" w:type="dxa"/>
            <w:vAlign w:val="center"/>
          </w:tcPr>
          <w:p w14:paraId="24533960" w14:textId="77777777" w:rsidR="002D5614" w:rsidRPr="00030884" w:rsidRDefault="002D5614" w:rsidP="00205A7E">
            <w:pPr>
              <w:pStyle w:val="TAC"/>
            </w:pPr>
            <w:r w:rsidRPr="00030884">
              <w:rPr>
                <w:color w:val="000000"/>
                <w:szCs w:val="18"/>
              </w:rPr>
              <w:t>6</w:t>
            </w:r>
          </w:p>
        </w:tc>
        <w:tc>
          <w:tcPr>
            <w:tcW w:w="2261" w:type="dxa"/>
            <w:tcBorders>
              <w:left w:val="double" w:sz="4" w:space="0" w:color="auto"/>
            </w:tcBorders>
          </w:tcPr>
          <w:p w14:paraId="27CCD9AA" w14:textId="77777777" w:rsidR="002D5614" w:rsidRPr="00030884" w:rsidRDefault="002D5614" w:rsidP="00205A7E">
            <w:pPr>
              <w:pStyle w:val="TAC"/>
            </w:pPr>
            <w:r>
              <w:t>20</w:t>
            </w:r>
          </w:p>
        </w:tc>
        <w:tc>
          <w:tcPr>
            <w:tcW w:w="2263" w:type="dxa"/>
            <w:tcBorders>
              <w:left w:val="double" w:sz="4" w:space="0" w:color="auto"/>
              <w:right w:val="double" w:sz="4" w:space="0" w:color="auto"/>
            </w:tcBorders>
          </w:tcPr>
          <w:p w14:paraId="78C714AA" w14:textId="77777777" w:rsidR="002D5614" w:rsidRPr="00030884" w:rsidRDefault="002D5614" w:rsidP="00205A7E">
            <w:pPr>
              <w:pStyle w:val="TAC"/>
            </w:pPr>
            <w:r w:rsidRPr="00030884">
              <w:t>5</w:t>
            </w:r>
          </w:p>
        </w:tc>
        <w:tc>
          <w:tcPr>
            <w:tcW w:w="2263" w:type="dxa"/>
            <w:tcBorders>
              <w:left w:val="double" w:sz="4" w:space="0" w:color="auto"/>
              <w:right w:val="double" w:sz="4" w:space="0" w:color="auto"/>
            </w:tcBorders>
          </w:tcPr>
          <w:p w14:paraId="0870A9A9" w14:textId="77777777" w:rsidR="002D5614" w:rsidRPr="00030884" w:rsidRDefault="002D5614" w:rsidP="00205A7E">
            <w:pPr>
              <w:pStyle w:val="TAC"/>
            </w:pPr>
            <w:r w:rsidRPr="00BF64EC">
              <w:rPr>
                <w:i/>
              </w:rPr>
              <w:t>5</w:t>
            </w:r>
          </w:p>
        </w:tc>
      </w:tr>
      <w:tr w:rsidR="002D5614" w:rsidRPr="00030884" w14:paraId="4482EEA1" w14:textId="77777777" w:rsidTr="00205A7E">
        <w:trPr>
          <w:cantSplit/>
          <w:jc w:val="center"/>
        </w:trPr>
        <w:tc>
          <w:tcPr>
            <w:tcW w:w="1558" w:type="dxa"/>
            <w:tcBorders>
              <w:right w:val="double" w:sz="4" w:space="0" w:color="auto"/>
            </w:tcBorders>
            <w:shd w:val="clear" w:color="auto" w:fill="auto"/>
            <w:vAlign w:val="center"/>
          </w:tcPr>
          <w:p w14:paraId="7E9838A6" w14:textId="77777777" w:rsidR="002D5614" w:rsidRPr="00030884" w:rsidRDefault="002D5614" w:rsidP="00205A7E">
            <w:pPr>
              <w:pStyle w:val="TAC"/>
            </w:pPr>
            <w:r w:rsidRPr="00030884">
              <w:t>3 MHz</w:t>
            </w:r>
          </w:p>
        </w:tc>
        <w:tc>
          <w:tcPr>
            <w:tcW w:w="1274" w:type="dxa"/>
            <w:vAlign w:val="center"/>
          </w:tcPr>
          <w:p w14:paraId="30C23A75" w14:textId="77777777" w:rsidR="002D5614" w:rsidRPr="00030884" w:rsidRDefault="002D5614" w:rsidP="00205A7E">
            <w:pPr>
              <w:pStyle w:val="TAC"/>
            </w:pPr>
            <w:r w:rsidRPr="00030884">
              <w:rPr>
                <w:color w:val="000000"/>
                <w:szCs w:val="18"/>
              </w:rPr>
              <w:t>12</w:t>
            </w:r>
          </w:p>
        </w:tc>
        <w:tc>
          <w:tcPr>
            <w:tcW w:w="2261" w:type="dxa"/>
            <w:tcBorders>
              <w:left w:val="double" w:sz="4" w:space="0" w:color="auto"/>
            </w:tcBorders>
          </w:tcPr>
          <w:p w14:paraId="2649619D" w14:textId="77777777" w:rsidR="002D5614" w:rsidRPr="00030884" w:rsidRDefault="002D5614" w:rsidP="00205A7E">
            <w:pPr>
              <w:pStyle w:val="TAC"/>
            </w:pPr>
            <w:r>
              <w:t>66</w:t>
            </w:r>
          </w:p>
        </w:tc>
        <w:tc>
          <w:tcPr>
            <w:tcW w:w="2263" w:type="dxa"/>
            <w:tcBorders>
              <w:left w:val="double" w:sz="4" w:space="0" w:color="auto"/>
              <w:right w:val="double" w:sz="4" w:space="0" w:color="auto"/>
            </w:tcBorders>
          </w:tcPr>
          <w:p w14:paraId="683285F8" w14:textId="77777777" w:rsidR="002D5614" w:rsidRPr="00030884" w:rsidRDefault="002D5614" w:rsidP="00205A7E">
            <w:pPr>
              <w:pStyle w:val="TAC"/>
            </w:pPr>
            <w:r>
              <w:t>7</w:t>
            </w:r>
          </w:p>
        </w:tc>
        <w:tc>
          <w:tcPr>
            <w:tcW w:w="2263" w:type="dxa"/>
            <w:tcBorders>
              <w:left w:val="double" w:sz="4" w:space="0" w:color="auto"/>
              <w:right w:val="double" w:sz="4" w:space="0" w:color="auto"/>
            </w:tcBorders>
          </w:tcPr>
          <w:p w14:paraId="754A754D" w14:textId="77777777" w:rsidR="002D5614" w:rsidRDefault="002D5614" w:rsidP="00205A7E">
            <w:pPr>
              <w:pStyle w:val="TAC"/>
            </w:pPr>
            <w:r w:rsidRPr="00BF64EC">
              <w:rPr>
                <w:i/>
              </w:rPr>
              <w:t>6</w:t>
            </w:r>
          </w:p>
        </w:tc>
      </w:tr>
      <w:tr w:rsidR="002D5614" w:rsidRPr="00030884" w14:paraId="57DE44E6" w14:textId="77777777" w:rsidTr="00205A7E">
        <w:trPr>
          <w:cantSplit/>
          <w:jc w:val="center"/>
        </w:trPr>
        <w:tc>
          <w:tcPr>
            <w:tcW w:w="1558" w:type="dxa"/>
            <w:tcBorders>
              <w:right w:val="double" w:sz="4" w:space="0" w:color="auto"/>
            </w:tcBorders>
            <w:shd w:val="clear" w:color="auto" w:fill="auto"/>
            <w:vAlign w:val="center"/>
          </w:tcPr>
          <w:p w14:paraId="6E096071" w14:textId="77777777" w:rsidR="002D5614" w:rsidRPr="00030884" w:rsidRDefault="002D5614" w:rsidP="00205A7E">
            <w:pPr>
              <w:pStyle w:val="TAC"/>
            </w:pPr>
            <w:r w:rsidRPr="00030884">
              <w:t>5 MHz</w:t>
            </w:r>
          </w:p>
        </w:tc>
        <w:tc>
          <w:tcPr>
            <w:tcW w:w="1274" w:type="dxa"/>
            <w:vAlign w:val="center"/>
          </w:tcPr>
          <w:p w14:paraId="78C5B39A" w14:textId="77777777" w:rsidR="002D5614" w:rsidRPr="00030884" w:rsidRDefault="002D5614" w:rsidP="00205A7E">
            <w:pPr>
              <w:pStyle w:val="TAC"/>
            </w:pPr>
            <w:r w:rsidRPr="00030884">
              <w:rPr>
                <w:color w:val="000000"/>
                <w:szCs w:val="18"/>
              </w:rPr>
              <w:t>25</w:t>
            </w:r>
          </w:p>
        </w:tc>
        <w:tc>
          <w:tcPr>
            <w:tcW w:w="2261" w:type="dxa"/>
            <w:tcBorders>
              <w:left w:val="double" w:sz="4" w:space="0" w:color="auto"/>
            </w:tcBorders>
          </w:tcPr>
          <w:p w14:paraId="53881228" w14:textId="77777777" w:rsidR="002D5614" w:rsidRPr="00030884" w:rsidRDefault="002D5614" w:rsidP="00205A7E">
            <w:pPr>
              <w:pStyle w:val="TAC"/>
            </w:pPr>
            <w:r>
              <w:t>144</w:t>
            </w:r>
          </w:p>
        </w:tc>
        <w:tc>
          <w:tcPr>
            <w:tcW w:w="2263" w:type="dxa"/>
            <w:tcBorders>
              <w:left w:val="double" w:sz="4" w:space="0" w:color="auto"/>
              <w:right w:val="double" w:sz="4" w:space="0" w:color="auto"/>
            </w:tcBorders>
          </w:tcPr>
          <w:p w14:paraId="262D6213" w14:textId="77777777" w:rsidR="002D5614" w:rsidRPr="00030884" w:rsidRDefault="002D5614" w:rsidP="00205A7E">
            <w:pPr>
              <w:pStyle w:val="TAC"/>
            </w:pPr>
            <w:r w:rsidRPr="00030884">
              <w:t>8</w:t>
            </w:r>
          </w:p>
        </w:tc>
        <w:tc>
          <w:tcPr>
            <w:tcW w:w="2263" w:type="dxa"/>
            <w:tcBorders>
              <w:left w:val="double" w:sz="4" w:space="0" w:color="auto"/>
              <w:right w:val="double" w:sz="4" w:space="0" w:color="auto"/>
            </w:tcBorders>
          </w:tcPr>
          <w:p w14:paraId="361828B4" w14:textId="77777777" w:rsidR="002D5614" w:rsidRPr="00030884" w:rsidRDefault="002D5614" w:rsidP="00205A7E">
            <w:pPr>
              <w:pStyle w:val="TAC"/>
            </w:pPr>
            <w:r w:rsidRPr="00BF64EC">
              <w:rPr>
                <w:i/>
              </w:rPr>
              <w:t>7</w:t>
            </w:r>
          </w:p>
        </w:tc>
      </w:tr>
      <w:tr w:rsidR="002D5614" w:rsidRPr="00030884" w14:paraId="0E2932FC" w14:textId="77777777" w:rsidTr="00205A7E">
        <w:trPr>
          <w:cantSplit/>
          <w:jc w:val="center"/>
        </w:trPr>
        <w:tc>
          <w:tcPr>
            <w:tcW w:w="1558" w:type="dxa"/>
            <w:tcBorders>
              <w:right w:val="double" w:sz="4" w:space="0" w:color="auto"/>
            </w:tcBorders>
            <w:shd w:val="clear" w:color="auto" w:fill="auto"/>
            <w:vAlign w:val="center"/>
          </w:tcPr>
          <w:p w14:paraId="05061EA6" w14:textId="77777777" w:rsidR="002D5614" w:rsidRPr="00030884" w:rsidRDefault="002D5614" w:rsidP="00205A7E">
            <w:pPr>
              <w:pStyle w:val="TAC"/>
            </w:pPr>
            <w:r w:rsidRPr="00030884">
              <w:t>10 MHz</w:t>
            </w:r>
          </w:p>
        </w:tc>
        <w:tc>
          <w:tcPr>
            <w:tcW w:w="1274" w:type="dxa"/>
            <w:vAlign w:val="center"/>
          </w:tcPr>
          <w:p w14:paraId="56D279C8" w14:textId="77777777" w:rsidR="002D5614" w:rsidRPr="00030884" w:rsidRDefault="002D5614" w:rsidP="00205A7E">
            <w:pPr>
              <w:pStyle w:val="TAC"/>
            </w:pPr>
            <w:r w:rsidRPr="00030884">
              <w:rPr>
                <w:color w:val="000000"/>
                <w:szCs w:val="18"/>
              </w:rPr>
              <w:t>50</w:t>
            </w:r>
          </w:p>
        </w:tc>
        <w:tc>
          <w:tcPr>
            <w:tcW w:w="2261" w:type="dxa"/>
            <w:tcBorders>
              <w:left w:val="double" w:sz="4" w:space="0" w:color="auto"/>
            </w:tcBorders>
          </w:tcPr>
          <w:p w14:paraId="6396BF54" w14:textId="77777777" w:rsidR="002D5614" w:rsidRPr="00030884" w:rsidRDefault="002D5614" w:rsidP="00205A7E">
            <w:pPr>
              <w:pStyle w:val="TAC"/>
            </w:pPr>
            <w:r>
              <w:t>294</w:t>
            </w:r>
          </w:p>
        </w:tc>
        <w:tc>
          <w:tcPr>
            <w:tcW w:w="2263" w:type="dxa"/>
            <w:tcBorders>
              <w:left w:val="double" w:sz="4" w:space="0" w:color="auto"/>
              <w:right w:val="double" w:sz="4" w:space="0" w:color="auto"/>
            </w:tcBorders>
          </w:tcPr>
          <w:p w14:paraId="2936D2E8" w14:textId="77777777" w:rsidR="002D5614" w:rsidRPr="00030884" w:rsidRDefault="002D5614" w:rsidP="00205A7E">
            <w:pPr>
              <w:pStyle w:val="TAC"/>
            </w:pPr>
            <w:r w:rsidRPr="00030884">
              <w:t>9</w:t>
            </w:r>
          </w:p>
        </w:tc>
        <w:tc>
          <w:tcPr>
            <w:tcW w:w="2263" w:type="dxa"/>
            <w:tcBorders>
              <w:left w:val="double" w:sz="4" w:space="0" w:color="auto"/>
              <w:right w:val="double" w:sz="4" w:space="0" w:color="auto"/>
            </w:tcBorders>
          </w:tcPr>
          <w:p w14:paraId="3745DC82" w14:textId="77777777" w:rsidR="002D5614" w:rsidRPr="00030884" w:rsidRDefault="002D5614" w:rsidP="00205A7E">
            <w:pPr>
              <w:pStyle w:val="TAC"/>
            </w:pPr>
            <w:r w:rsidRPr="00BF64EC">
              <w:rPr>
                <w:i/>
              </w:rPr>
              <w:t>8</w:t>
            </w:r>
          </w:p>
        </w:tc>
      </w:tr>
      <w:tr w:rsidR="002D5614" w:rsidRPr="00030884" w14:paraId="095015DF" w14:textId="77777777" w:rsidTr="00205A7E">
        <w:trPr>
          <w:cantSplit/>
          <w:jc w:val="center"/>
        </w:trPr>
        <w:tc>
          <w:tcPr>
            <w:tcW w:w="1558" w:type="dxa"/>
            <w:tcBorders>
              <w:right w:val="double" w:sz="4" w:space="0" w:color="auto"/>
            </w:tcBorders>
            <w:shd w:val="clear" w:color="auto" w:fill="auto"/>
            <w:vAlign w:val="center"/>
          </w:tcPr>
          <w:p w14:paraId="5D959329" w14:textId="77777777" w:rsidR="002D5614" w:rsidRPr="00030884" w:rsidRDefault="002D5614" w:rsidP="00205A7E">
            <w:pPr>
              <w:pStyle w:val="TAC"/>
            </w:pPr>
            <w:r w:rsidRPr="00030884">
              <w:t>15 MHz</w:t>
            </w:r>
          </w:p>
        </w:tc>
        <w:tc>
          <w:tcPr>
            <w:tcW w:w="1274" w:type="dxa"/>
            <w:vAlign w:val="center"/>
          </w:tcPr>
          <w:p w14:paraId="4E3B6CC7" w14:textId="77777777" w:rsidR="002D5614" w:rsidRPr="00030884" w:rsidRDefault="002D5614" w:rsidP="00205A7E">
            <w:pPr>
              <w:pStyle w:val="TAC"/>
            </w:pPr>
            <w:r w:rsidRPr="00030884">
              <w:rPr>
                <w:color w:val="000000"/>
                <w:szCs w:val="18"/>
              </w:rPr>
              <w:t>75</w:t>
            </w:r>
          </w:p>
        </w:tc>
        <w:tc>
          <w:tcPr>
            <w:tcW w:w="2261" w:type="dxa"/>
            <w:tcBorders>
              <w:left w:val="double" w:sz="4" w:space="0" w:color="auto"/>
            </w:tcBorders>
          </w:tcPr>
          <w:p w14:paraId="58C8E2D0" w14:textId="77777777" w:rsidR="002D5614" w:rsidRPr="00030884" w:rsidRDefault="002D5614" w:rsidP="00205A7E">
            <w:pPr>
              <w:pStyle w:val="TAC"/>
            </w:pPr>
            <w:r>
              <w:t>444</w:t>
            </w:r>
          </w:p>
        </w:tc>
        <w:tc>
          <w:tcPr>
            <w:tcW w:w="2263" w:type="dxa"/>
            <w:tcBorders>
              <w:left w:val="double" w:sz="4" w:space="0" w:color="auto"/>
              <w:right w:val="double" w:sz="4" w:space="0" w:color="auto"/>
            </w:tcBorders>
          </w:tcPr>
          <w:p w14:paraId="2DB21B35" w14:textId="77777777" w:rsidR="002D5614" w:rsidRPr="00030884" w:rsidRDefault="002D5614" w:rsidP="00205A7E">
            <w:pPr>
              <w:pStyle w:val="TAC"/>
            </w:pPr>
            <w:r w:rsidRPr="00030884">
              <w:t>9</w:t>
            </w:r>
          </w:p>
        </w:tc>
        <w:tc>
          <w:tcPr>
            <w:tcW w:w="2263" w:type="dxa"/>
            <w:tcBorders>
              <w:left w:val="double" w:sz="4" w:space="0" w:color="auto"/>
              <w:right w:val="double" w:sz="4" w:space="0" w:color="auto"/>
            </w:tcBorders>
          </w:tcPr>
          <w:p w14:paraId="24CA8B56" w14:textId="77777777" w:rsidR="002D5614" w:rsidRPr="00030884" w:rsidRDefault="002D5614" w:rsidP="00205A7E">
            <w:pPr>
              <w:pStyle w:val="TAC"/>
            </w:pPr>
            <w:r w:rsidRPr="00BF64EC">
              <w:rPr>
                <w:i/>
              </w:rPr>
              <w:t>9</w:t>
            </w:r>
          </w:p>
        </w:tc>
      </w:tr>
      <w:tr w:rsidR="002D5614" w:rsidRPr="00030884" w14:paraId="6198FB4E" w14:textId="77777777" w:rsidTr="00205A7E">
        <w:trPr>
          <w:cantSplit/>
          <w:jc w:val="center"/>
        </w:trPr>
        <w:tc>
          <w:tcPr>
            <w:tcW w:w="1558" w:type="dxa"/>
            <w:tcBorders>
              <w:right w:val="double" w:sz="4" w:space="0" w:color="auto"/>
            </w:tcBorders>
            <w:shd w:val="clear" w:color="auto" w:fill="auto"/>
            <w:vAlign w:val="center"/>
          </w:tcPr>
          <w:p w14:paraId="6063C541" w14:textId="77777777" w:rsidR="002D5614" w:rsidRPr="00030884" w:rsidRDefault="002D5614" w:rsidP="00205A7E">
            <w:pPr>
              <w:pStyle w:val="TAC"/>
            </w:pPr>
            <w:r w:rsidRPr="00030884">
              <w:t>20 MHz</w:t>
            </w:r>
          </w:p>
        </w:tc>
        <w:tc>
          <w:tcPr>
            <w:tcW w:w="1274" w:type="dxa"/>
            <w:vAlign w:val="center"/>
          </w:tcPr>
          <w:p w14:paraId="6E93461F" w14:textId="77777777" w:rsidR="002D5614" w:rsidRPr="00030884" w:rsidRDefault="002D5614" w:rsidP="00205A7E">
            <w:pPr>
              <w:pStyle w:val="TAC"/>
            </w:pPr>
            <w:r w:rsidRPr="00030884">
              <w:rPr>
                <w:color w:val="000000"/>
                <w:szCs w:val="18"/>
              </w:rPr>
              <w:t>100</w:t>
            </w:r>
          </w:p>
        </w:tc>
        <w:tc>
          <w:tcPr>
            <w:tcW w:w="2261" w:type="dxa"/>
            <w:tcBorders>
              <w:left w:val="double" w:sz="4" w:space="0" w:color="auto"/>
            </w:tcBorders>
          </w:tcPr>
          <w:p w14:paraId="22F6089A" w14:textId="77777777" w:rsidR="002D5614" w:rsidRPr="00030884" w:rsidRDefault="002D5614" w:rsidP="00205A7E">
            <w:pPr>
              <w:pStyle w:val="TAC"/>
            </w:pPr>
            <w:r>
              <w:t>594</w:t>
            </w:r>
          </w:p>
        </w:tc>
        <w:tc>
          <w:tcPr>
            <w:tcW w:w="2263" w:type="dxa"/>
            <w:tcBorders>
              <w:left w:val="double" w:sz="4" w:space="0" w:color="auto"/>
              <w:right w:val="double" w:sz="4" w:space="0" w:color="auto"/>
            </w:tcBorders>
          </w:tcPr>
          <w:p w14:paraId="53B4C0CE" w14:textId="77777777" w:rsidR="002D5614" w:rsidRPr="00030884" w:rsidRDefault="002D5614" w:rsidP="00205A7E">
            <w:pPr>
              <w:pStyle w:val="TAC"/>
            </w:pPr>
            <w:r w:rsidRPr="00030884">
              <w:t>10</w:t>
            </w:r>
          </w:p>
        </w:tc>
        <w:tc>
          <w:tcPr>
            <w:tcW w:w="2263" w:type="dxa"/>
            <w:tcBorders>
              <w:left w:val="double" w:sz="4" w:space="0" w:color="auto"/>
              <w:right w:val="double" w:sz="4" w:space="0" w:color="auto"/>
            </w:tcBorders>
          </w:tcPr>
          <w:p w14:paraId="585575E7" w14:textId="77777777" w:rsidR="002D5614" w:rsidRPr="00030884" w:rsidRDefault="002D5614" w:rsidP="00205A7E">
            <w:pPr>
              <w:pStyle w:val="TAC"/>
            </w:pPr>
            <w:r w:rsidRPr="00BF64EC">
              <w:rPr>
                <w:i/>
              </w:rPr>
              <w:t>9</w:t>
            </w:r>
          </w:p>
        </w:tc>
      </w:tr>
    </w:tbl>
    <w:p w14:paraId="44EDB7C0" w14:textId="77777777" w:rsidR="002D5614" w:rsidRDefault="002D5614" w:rsidP="002D5614">
      <w:pPr>
        <w:pStyle w:val="Observation"/>
        <w:numPr>
          <w:ilvl w:val="0"/>
          <w:numId w:val="0"/>
        </w:numPr>
      </w:pPr>
    </w:p>
    <w:p w14:paraId="6EAF2779" w14:textId="77777777" w:rsidR="002D5614" w:rsidRDefault="002D5614" w:rsidP="002D5614">
      <w:pPr>
        <w:pStyle w:val="Observation"/>
      </w:pPr>
      <w:bookmarkStart w:id="254" w:name="_Toc510538396"/>
      <w:bookmarkStart w:id="255" w:name="_Toc510602943"/>
      <w:bookmarkStart w:id="256" w:name="_Toc510609676"/>
      <w:bookmarkStart w:id="257" w:name="_Toc510609760"/>
      <w:bookmarkStart w:id="258" w:name="_Toc510609772"/>
      <w:bookmarkStart w:id="259" w:name="_Toc510609798"/>
      <w:bookmarkStart w:id="260" w:name="_Toc510609843"/>
      <w:bookmarkStart w:id="261" w:name="_Toc510698720"/>
      <w:bookmarkStart w:id="262" w:name="_Toc510699171"/>
      <w:bookmarkStart w:id="263" w:name="_Toc510702860"/>
      <w:bookmarkStart w:id="264" w:name="_Toc510705008"/>
      <w:bookmarkStart w:id="265" w:name="_Toc510726922"/>
      <w:bookmarkStart w:id="266" w:name="_Toc510800075"/>
      <w:bookmarkStart w:id="267" w:name="_Toc510800110"/>
      <w:bookmarkStart w:id="268" w:name="_Toc510800296"/>
      <w:bookmarkStart w:id="269" w:name="_Toc510801584"/>
      <w:bookmarkStart w:id="270" w:name="_Toc513192887"/>
      <w:bookmarkStart w:id="271" w:name="_Toc513193018"/>
      <w:bookmarkStart w:id="272" w:name="_Toc513635323"/>
      <w:bookmarkStart w:id="273" w:name="_Toc513643175"/>
      <w:bookmarkStart w:id="274" w:name="_Toc513647092"/>
      <w:bookmarkStart w:id="275" w:name="_Toc513656501"/>
      <w:bookmarkStart w:id="276" w:name="_Toc513659475"/>
      <w:bookmarkStart w:id="277" w:name="_Toc513660068"/>
      <w:bookmarkStart w:id="278" w:name="_Toc513820080"/>
      <w:bookmarkStart w:id="279" w:name="_Toc513820357"/>
      <w:bookmarkStart w:id="280" w:name="_Toc513821093"/>
      <w:r>
        <w:t xml:space="preserve">Resource allocation type 2 may be used for flexible starting PRB allocation and address all consecutive groups of </w:t>
      </w:r>
      <w:r w:rsidRPr="004B740C">
        <w:t xml:space="preserve">{0, 1, 2, 3, 4, 5} </w:t>
      </w:r>
      <w:r>
        <w:t xml:space="preserve">PRBs by selecting the starting PRB </w:t>
      </w:r>
      <w:r w:rsidRPr="004B740C">
        <w:rPr>
          <w:position w:val="-12"/>
        </w:rPr>
        <w:object w:dxaOrig="660" w:dyaOrig="360" w14:anchorId="3127A54D">
          <v:shape id="_x0000_i1033" type="#_x0000_t75" style="width:31.9pt;height:18.35pt" o:ole="">
            <v:imagedata r:id="rId13" o:title=""/>
          </v:shape>
          <o:OLEObject Type="Embed" ProgID="Equation.3" ShapeID="_x0000_i1033" DrawAspect="Content" ObjectID="_1587562969" r:id="rId29"/>
        </w:object>
      </w:r>
      <w:r>
        <w:t xml:space="preserve"> from all PRBs within the system bandwidth. This requires an extra bit in the Resource allocation field in the DCI</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508A4E48" w14:textId="77777777" w:rsidR="002D5614" w:rsidRDefault="002D5614" w:rsidP="002D5614">
      <w:pPr>
        <w:pStyle w:val="Heading3"/>
      </w:pPr>
      <w:bookmarkStart w:id="281" w:name="_Ref510638352"/>
      <w:r>
        <w:t>Unused RIV values</w:t>
      </w:r>
      <w:bookmarkEnd w:id="281"/>
    </w:p>
    <w:p w14:paraId="64EA0DC6" w14:textId="456620E6" w:rsidR="002D5614" w:rsidRDefault="002D5614" w:rsidP="002D5614">
      <w:pPr>
        <w:rPr>
          <w:lang w:val="en-GB" w:eastAsia="zh-CN"/>
        </w:rPr>
      </w:pPr>
      <w:r>
        <w:rPr>
          <w:lang w:val="en-GB" w:eastAsia="zh-CN"/>
        </w:rPr>
        <w:t xml:space="preserve">The current RIV values computed for </w:t>
      </w:r>
      <w:r w:rsidRPr="004B740C">
        <w:t>allocating</w:t>
      </w:r>
      <w:r>
        <w:t xml:space="preserve"> the PRBs within a narrowband is limited to 0-20 (</w:t>
      </w:r>
      <w:r>
        <w:fldChar w:fldCharType="begin"/>
      </w:r>
      <w:r>
        <w:instrText xml:space="preserve"> REF _Ref505974664 \r \h </w:instrText>
      </w:r>
      <w:r>
        <w:fldChar w:fldCharType="separate"/>
      </w:r>
      <w:r w:rsidR="00725BFD">
        <w:t>[3]</w:t>
      </w:r>
      <w:r>
        <w:fldChar w:fldCharType="end"/>
      </w:r>
      <w:r>
        <w:fldChar w:fldCharType="begin"/>
      </w:r>
      <w:r>
        <w:instrText xml:space="preserve"> REF _Ref510537625 \r \h </w:instrText>
      </w:r>
      <w:r>
        <w:fldChar w:fldCharType="separate"/>
      </w:r>
      <w:r w:rsidR="00725BFD">
        <w:t>[6]</w:t>
      </w:r>
      <w:r>
        <w:fldChar w:fldCharType="end"/>
      </w:r>
      <w:r>
        <w:fldChar w:fldCharType="begin"/>
      </w:r>
      <w:r>
        <w:instrText xml:space="preserve"> REF _Ref510537627 \r \h </w:instrText>
      </w:r>
      <w:r>
        <w:fldChar w:fldCharType="separate"/>
      </w:r>
      <w:r w:rsidR="00725BFD">
        <w:t>[7]</w:t>
      </w:r>
      <w:r>
        <w:fldChar w:fldCharType="end"/>
      </w:r>
      <w:r>
        <w:t xml:space="preserve">). Thus, there are 11 unused RIV values that may be used for allocation of PRBs with a more flexible starting PRB that is not confined to the allocated narrowband. The use of these 11 RIV values for providing a more flexible starting PRB for the resource allocation will not increase the size of the DCI, but conflicts with the use of uplink resource allocation type 4 in DCI format 6-0A for 5MHz BL/CE UEs (see 5.3.3.1.10 in </w:t>
      </w:r>
      <w:r>
        <w:fldChar w:fldCharType="begin"/>
      </w:r>
      <w:r>
        <w:instrText xml:space="preserve"> REF _Ref510533522 \r \h </w:instrText>
      </w:r>
      <w:r>
        <w:fldChar w:fldCharType="separate"/>
      </w:r>
      <w:r w:rsidR="00725BFD">
        <w:t>[4]</w:t>
      </w:r>
      <w:r>
        <w:fldChar w:fldCharType="end"/>
      </w:r>
      <w:r>
        <w:t>). Furthermore, the 11 unused RIV values do not provide a full flexibility for the starting PRB.</w:t>
      </w:r>
    </w:p>
    <w:p w14:paraId="021F5B2C" w14:textId="77777777" w:rsidR="002D5614" w:rsidRDefault="002D5614" w:rsidP="002D5614">
      <w:pPr>
        <w:pStyle w:val="Observation"/>
        <w:rPr>
          <w:lang w:val="en-GB" w:eastAsia="zh-CN"/>
        </w:rPr>
      </w:pPr>
      <w:bookmarkStart w:id="282" w:name="_Toc510538397"/>
      <w:bookmarkStart w:id="283" w:name="_Toc510602944"/>
      <w:bookmarkStart w:id="284" w:name="_Toc510609677"/>
      <w:bookmarkStart w:id="285" w:name="_Toc510609761"/>
      <w:bookmarkStart w:id="286" w:name="_Toc510609773"/>
      <w:bookmarkStart w:id="287" w:name="_Toc510609799"/>
      <w:bookmarkStart w:id="288" w:name="_Toc510609844"/>
      <w:bookmarkStart w:id="289" w:name="_Toc510698721"/>
      <w:bookmarkStart w:id="290" w:name="_Toc510699172"/>
      <w:bookmarkStart w:id="291" w:name="_Toc510702861"/>
      <w:bookmarkStart w:id="292" w:name="_Toc510705009"/>
      <w:bookmarkStart w:id="293" w:name="_Toc510726923"/>
      <w:bookmarkStart w:id="294" w:name="_Toc510800076"/>
      <w:bookmarkStart w:id="295" w:name="_Toc510800111"/>
      <w:bookmarkStart w:id="296" w:name="_Toc510800297"/>
      <w:bookmarkStart w:id="297" w:name="_Toc510801585"/>
      <w:bookmarkStart w:id="298" w:name="_Toc513192888"/>
      <w:bookmarkStart w:id="299" w:name="_Toc513193019"/>
      <w:bookmarkStart w:id="300" w:name="_Toc513635324"/>
      <w:bookmarkStart w:id="301" w:name="_Toc513643176"/>
      <w:bookmarkStart w:id="302" w:name="_Toc513647093"/>
      <w:bookmarkStart w:id="303" w:name="_Toc513656502"/>
      <w:bookmarkStart w:id="304" w:name="_Toc513659476"/>
      <w:bookmarkStart w:id="305" w:name="_Toc513660069"/>
      <w:bookmarkStart w:id="306" w:name="_Toc513820081"/>
      <w:bookmarkStart w:id="307" w:name="_Toc513820358"/>
      <w:bookmarkStart w:id="308" w:name="_Toc513821094"/>
      <w:r>
        <w:rPr>
          <w:lang w:val="en-GB" w:eastAsia="zh-CN"/>
        </w:rPr>
        <w:lastRenderedPageBreak/>
        <w:t>The unused RIV values in resource allocation type 2 may be used to increase the flexibility of the starting PRB without increasing the size of the DCI field</w:t>
      </w:r>
      <w:bookmarkEnd w:id="282"/>
      <w:r>
        <w:rPr>
          <w:lang w:val="en-GB" w:eastAsia="zh-CN"/>
        </w:rPr>
        <w:t>, but do not provide a full flexibility of the starting PRB.</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01EE0B1E" w14:textId="77777777" w:rsidR="002D5614" w:rsidRPr="005F2569" w:rsidRDefault="002D5614" w:rsidP="002D5614">
      <w:pPr>
        <w:pStyle w:val="Heading2"/>
      </w:pPr>
      <w:r w:rsidRPr="005F2569">
        <w:t>Guard period for narrowband and wideband retuning</w:t>
      </w:r>
    </w:p>
    <w:p w14:paraId="242D314B" w14:textId="77777777" w:rsidR="002D5614" w:rsidRDefault="002D5614" w:rsidP="002D5614">
      <w:r>
        <w:t xml:space="preserve">When introducing a flexible starting PRB for PDSCH and PUSCH the effect of a potential re-tuning between narrowbands with different center frequencies needs to be considered. </w:t>
      </w:r>
    </w:p>
    <w:p w14:paraId="74C8C5B1" w14:textId="41B49D4C" w:rsidR="002D5614" w:rsidRDefault="002D5614" w:rsidP="002D5614">
      <w:r w:rsidRPr="005F2569">
        <w:t>A guard period for re-tuning between down</w:t>
      </w:r>
      <w:r>
        <w:t>link narrow</w:t>
      </w:r>
      <w:r w:rsidRPr="005F2569">
        <w:t xml:space="preserve">bands with different center frequencies is defined in 6.2.8 of </w:t>
      </w:r>
      <w:r w:rsidRPr="005F2569">
        <w:fldChar w:fldCharType="begin"/>
      </w:r>
      <w:r w:rsidRPr="005F2569">
        <w:instrText xml:space="preserve"> REF _Ref505981342 \r \h </w:instrText>
      </w:r>
      <w:r>
        <w:instrText xml:space="preserve"> \* MERGEFORMAT </w:instrText>
      </w:r>
      <w:r w:rsidRPr="005F2569">
        <w:fldChar w:fldCharType="separate"/>
      </w:r>
      <w:r w:rsidR="00725BFD">
        <w:t>[5]</w:t>
      </w:r>
      <w:r w:rsidRPr="005F2569">
        <w:fldChar w:fldCharType="end"/>
      </w:r>
      <w:r w:rsidRPr="005F2569">
        <w:t>. Similarly, a guard period is defined for frame structure type 2 when the UE retunes from an uplink narrowband to a downlink narrowband wit</w:t>
      </w:r>
      <w:r>
        <w:t>h a different center frequency.</w:t>
      </w:r>
    </w:p>
    <w:p w14:paraId="55551122" w14:textId="77777777" w:rsidR="002D5614" w:rsidRDefault="002D5614" w:rsidP="002D5614">
      <w:pPr>
        <w:pStyle w:val="Heading2"/>
      </w:pPr>
      <w:r>
        <w:t>Size of DCI format</w:t>
      </w:r>
    </w:p>
    <w:p w14:paraId="3B7F2CAE" w14:textId="1ED1EE85" w:rsidR="002D5614" w:rsidRDefault="002D5614" w:rsidP="002D5614">
      <w:pPr>
        <w:rPr>
          <w:lang w:val="en-GB" w:eastAsia="zh-CN"/>
        </w:rPr>
      </w:pPr>
      <w:r>
        <w:rPr>
          <w:lang w:val="en-GB" w:eastAsia="zh-CN"/>
        </w:rPr>
        <w:t xml:space="preserve">The size of the DCI formats is described in sections 5.3.3.1.10 - 5.3.3.1.13 in </w:t>
      </w:r>
      <w:r>
        <w:rPr>
          <w:lang w:val="en-GB" w:eastAsia="zh-CN"/>
        </w:rPr>
        <w:fldChar w:fldCharType="begin"/>
      </w:r>
      <w:r>
        <w:rPr>
          <w:lang w:val="en-GB" w:eastAsia="zh-CN"/>
        </w:rPr>
        <w:instrText xml:space="preserve"> REF _Ref510533522 \r \h </w:instrText>
      </w:r>
      <w:r>
        <w:rPr>
          <w:lang w:val="en-GB" w:eastAsia="zh-CN"/>
        </w:rPr>
      </w:r>
      <w:r>
        <w:rPr>
          <w:lang w:val="en-GB" w:eastAsia="zh-CN"/>
        </w:rPr>
        <w:fldChar w:fldCharType="separate"/>
      </w:r>
      <w:r w:rsidR="00725BFD">
        <w:rPr>
          <w:lang w:val="en-GB" w:eastAsia="zh-CN"/>
        </w:rPr>
        <w:t>[4]</w:t>
      </w:r>
      <w:r>
        <w:rPr>
          <w:lang w:val="en-GB" w:eastAsia="zh-CN"/>
        </w:rPr>
        <w:fldChar w:fldCharType="end"/>
      </w:r>
      <w:r>
        <w:rPr>
          <w:lang w:val="en-GB" w:eastAsia="zh-CN"/>
        </w:rPr>
        <w:t>. The total size depends on the system bandwidth and system configuration, but the following may be observed for CE mode A:</w:t>
      </w:r>
    </w:p>
    <w:p w14:paraId="18E1D532" w14:textId="77777777" w:rsidR="002D5614" w:rsidRDefault="002D5614" w:rsidP="002D5614">
      <w:pPr>
        <w:pStyle w:val="Observation"/>
        <w:rPr>
          <w:lang w:val="en-GB" w:eastAsia="zh-CN"/>
        </w:rPr>
      </w:pPr>
      <w:bookmarkStart w:id="309" w:name="_Toc510538399"/>
      <w:bookmarkStart w:id="310" w:name="_Ref510601055"/>
      <w:bookmarkStart w:id="311" w:name="_Toc510602946"/>
      <w:bookmarkStart w:id="312" w:name="_Toc510609679"/>
      <w:bookmarkStart w:id="313" w:name="_Toc510609763"/>
      <w:bookmarkStart w:id="314" w:name="_Toc510609775"/>
      <w:bookmarkStart w:id="315" w:name="_Toc510609801"/>
      <w:bookmarkStart w:id="316" w:name="_Toc510609846"/>
      <w:bookmarkStart w:id="317" w:name="_Toc510698723"/>
      <w:bookmarkStart w:id="318" w:name="_Toc510699174"/>
      <w:bookmarkStart w:id="319" w:name="_Toc510702863"/>
      <w:bookmarkStart w:id="320" w:name="_Toc510705011"/>
      <w:bookmarkStart w:id="321" w:name="_Toc510726925"/>
      <w:bookmarkStart w:id="322" w:name="_Toc510800078"/>
      <w:bookmarkStart w:id="323" w:name="_Toc510800113"/>
      <w:bookmarkStart w:id="324" w:name="_Toc510800299"/>
      <w:bookmarkStart w:id="325" w:name="_Toc510801587"/>
      <w:bookmarkStart w:id="326" w:name="_Toc513192890"/>
      <w:bookmarkStart w:id="327" w:name="_Toc513193021"/>
      <w:bookmarkStart w:id="328" w:name="_Toc513635325"/>
      <w:bookmarkStart w:id="329" w:name="_Toc513643177"/>
      <w:bookmarkStart w:id="330" w:name="_Toc513647094"/>
      <w:bookmarkStart w:id="331" w:name="_Toc513656503"/>
      <w:bookmarkStart w:id="332" w:name="_Toc513659477"/>
      <w:bookmarkStart w:id="333" w:name="_Toc513660070"/>
      <w:bookmarkStart w:id="334" w:name="_Toc513820082"/>
      <w:bookmarkStart w:id="335" w:name="_Toc513820359"/>
      <w:bookmarkStart w:id="336" w:name="_Toc513821095"/>
      <w:r>
        <w:rPr>
          <w:lang w:val="en-GB" w:eastAsia="zh-CN"/>
        </w:rPr>
        <w:t>For CE mode A and FDD and a system configuration for minimum DCI, the total size of DCI format 6-1A is one bit larger than DCI format 6-0A.</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2ABCABAB" w14:textId="77777777" w:rsidR="002D5614" w:rsidRDefault="002D5614" w:rsidP="002D5614">
      <w:pPr>
        <w:pStyle w:val="Observation"/>
        <w:rPr>
          <w:lang w:val="en-GB" w:eastAsia="zh-CN"/>
        </w:rPr>
      </w:pPr>
      <w:bookmarkStart w:id="337" w:name="_Toc510538400"/>
      <w:bookmarkStart w:id="338" w:name="_Toc510602947"/>
      <w:bookmarkStart w:id="339" w:name="_Toc510609680"/>
      <w:bookmarkStart w:id="340" w:name="_Toc510609764"/>
      <w:bookmarkStart w:id="341" w:name="_Toc510609776"/>
      <w:bookmarkStart w:id="342" w:name="_Toc510609802"/>
      <w:bookmarkStart w:id="343" w:name="_Toc510609847"/>
      <w:bookmarkStart w:id="344" w:name="_Toc510698724"/>
      <w:bookmarkStart w:id="345" w:name="_Toc510699175"/>
      <w:bookmarkStart w:id="346" w:name="_Toc510702864"/>
      <w:bookmarkStart w:id="347" w:name="_Toc510705012"/>
      <w:bookmarkStart w:id="348" w:name="_Toc510726926"/>
      <w:bookmarkStart w:id="349" w:name="_Toc510800079"/>
      <w:bookmarkStart w:id="350" w:name="_Toc510800114"/>
      <w:bookmarkStart w:id="351" w:name="_Toc510800300"/>
      <w:bookmarkStart w:id="352" w:name="_Toc510801588"/>
      <w:bookmarkStart w:id="353" w:name="_Toc513192891"/>
      <w:bookmarkStart w:id="354" w:name="_Toc513193022"/>
      <w:bookmarkStart w:id="355" w:name="_Toc513635326"/>
      <w:bookmarkStart w:id="356" w:name="_Toc513643178"/>
      <w:bookmarkStart w:id="357" w:name="_Toc513647095"/>
      <w:bookmarkStart w:id="358" w:name="_Toc513656504"/>
      <w:bookmarkStart w:id="359" w:name="_Toc513659478"/>
      <w:bookmarkStart w:id="360" w:name="_Toc513660071"/>
      <w:bookmarkStart w:id="361" w:name="_Toc513820083"/>
      <w:bookmarkStart w:id="362" w:name="_Toc513820360"/>
      <w:bookmarkStart w:id="363" w:name="_Toc513821096"/>
      <w:r>
        <w:rPr>
          <w:lang w:val="en-GB" w:eastAsia="zh-CN"/>
        </w:rPr>
        <w:t>For CE mode A and TDD and a system configuration for minimum DCI, the total size of DCI format 6-1A and DCI format 6-0A is the same.</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2312840F" w14:textId="77777777" w:rsidR="002D5614" w:rsidRPr="000F61A2" w:rsidRDefault="002D5614" w:rsidP="002D5614">
      <w:pPr>
        <w:pStyle w:val="Observation"/>
        <w:rPr>
          <w:lang w:val="en-GB" w:eastAsia="zh-CN"/>
        </w:rPr>
      </w:pPr>
      <w:bookmarkStart w:id="364" w:name="_Toc510538401"/>
      <w:bookmarkStart w:id="365" w:name="_Toc510602948"/>
      <w:bookmarkStart w:id="366" w:name="_Toc510609681"/>
      <w:bookmarkStart w:id="367" w:name="_Toc510609765"/>
      <w:bookmarkStart w:id="368" w:name="_Toc510609777"/>
      <w:bookmarkStart w:id="369" w:name="_Toc510609803"/>
      <w:bookmarkStart w:id="370" w:name="_Toc510609848"/>
      <w:bookmarkStart w:id="371" w:name="_Toc510698725"/>
      <w:bookmarkStart w:id="372" w:name="_Toc510699176"/>
      <w:bookmarkStart w:id="373" w:name="_Toc510702865"/>
      <w:bookmarkStart w:id="374" w:name="_Toc510705013"/>
      <w:bookmarkStart w:id="375" w:name="_Toc510726927"/>
      <w:bookmarkStart w:id="376" w:name="_Toc510800080"/>
      <w:bookmarkStart w:id="377" w:name="_Toc510800115"/>
      <w:bookmarkStart w:id="378" w:name="_Toc510800301"/>
      <w:bookmarkStart w:id="379" w:name="_Toc510801589"/>
      <w:bookmarkStart w:id="380" w:name="_Toc513192892"/>
      <w:bookmarkStart w:id="381" w:name="_Toc513193023"/>
      <w:bookmarkStart w:id="382" w:name="_Toc513635327"/>
      <w:bookmarkStart w:id="383" w:name="_Toc513643179"/>
      <w:bookmarkStart w:id="384" w:name="_Toc513647096"/>
      <w:bookmarkStart w:id="385" w:name="_Toc513656505"/>
      <w:bookmarkStart w:id="386" w:name="_Toc513659479"/>
      <w:bookmarkStart w:id="387" w:name="_Toc513660072"/>
      <w:bookmarkStart w:id="388" w:name="_Toc513820084"/>
      <w:bookmarkStart w:id="389" w:name="_Toc513820361"/>
      <w:bookmarkStart w:id="390" w:name="_Toc513821097"/>
      <w:r>
        <w:rPr>
          <w:lang w:val="en-GB" w:eastAsia="zh-CN"/>
        </w:rPr>
        <w:t>For CE mode A and c</w:t>
      </w:r>
      <w:r w:rsidRPr="000F61A2">
        <w:rPr>
          <w:lang w:val="en-GB" w:eastAsia="zh-CN"/>
        </w:rPr>
        <w:t>onfiguring a UE with Rel-14 enhancements (PUSCH and scheduling enhancements as well as HARQ-ACK bundling) results in that DCI format 6-1A is 3 bits larger than format 6-0A for FDD and 2 bits larger for TDD</w:t>
      </w:r>
      <w:r>
        <w:rPr>
          <w:lang w:val="en-GB" w:eastAsia="zh-CN"/>
        </w:rPr>
        <w:t>.</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1860EB20" w14:textId="77777777" w:rsidR="002D5614" w:rsidRPr="00C53C5B" w:rsidRDefault="002D5614" w:rsidP="002D5614">
      <w:pPr>
        <w:pStyle w:val="Observation"/>
        <w:rPr>
          <w:lang w:val="en-GB" w:eastAsia="zh-CN"/>
        </w:rPr>
      </w:pPr>
      <w:bookmarkStart w:id="391" w:name="_Toc510538402"/>
      <w:bookmarkStart w:id="392" w:name="_Ref510601072"/>
      <w:bookmarkStart w:id="393" w:name="_Toc510602949"/>
      <w:bookmarkStart w:id="394" w:name="_Toc510609682"/>
      <w:bookmarkStart w:id="395" w:name="_Toc510609766"/>
      <w:bookmarkStart w:id="396" w:name="_Toc510609778"/>
      <w:bookmarkStart w:id="397" w:name="_Toc510609804"/>
      <w:bookmarkStart w:id="398" w:name="_Toc510609849"/>
      <w:bookmarkStart w:id="399" w:name="_Toc510698726"/>
      <w:bookmarkStart w:id="400" w:name="_Toc510699177"/>
      <w:bookmarkStart w:id="401" w:name="_Toc510702866"/>
      <w:bookmarkStart w:id="402" w:name="_Toc510705014"/>
      <w:bookmarkStart w:id="403" w:name="_Toc510726928"/>
      <w:bookmarkStart w:id="404" w:name="_Toc510800081"/>
      <w:bookmarkStart w:id="405" w:name="_Toc510800116"/>
      <w:bookmarkStart w:id="406" w:name="_Toc510800302"/>
      <w:bookmarkStart w:id="407" w:name="_Toc510801590"/>
      <w:bookmarkStart w:id="408" w:name="_Toc513192893"/>
      <w:bookmarkStart w:id="409" w:name="_Toc513193024"/>
      <w:bookmarkStart w:id="410" w:name="_Toc513635328"/>
      <w:bookmarkStart w:id="411" w:name="_Toc513643180"/>
      <w:bookmarkStart w:id="412" w:name="_Toc513647097"/>
      <w:bookmarkStart w:id="413" w:name="_Toc513656506"/>
      <w:bookmarkStart w:id="414" w:name="_Toc513659480"/>
      <w:bookmarkStart w:id="415" w:name="_Toc513660073"/>
      <w:bookmarkStart w:id="416" w:name="_Toc513820085"/>
      <w:bookmarkStart w:id="417" w:name="_Toc513820362"/>
      <w:bookmarkStart w:id="418" w:name="_Toc513821098"/>
      <w:r>
        <w:rPr>
          <w:rFonts w:eastAsia="Times New Roman"/>
        </w:rPr>
        <w:t>Use of TM6 or TM9 further increases the size of DCI format 6-1A.</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5928DC87" w14:textId="77777777" w:rsidR="002D5614" w:rsidRDefault="002D5614" w:rsidP="002D5614">
      <w:pPr>
        <w:rPr>
          <w:lang w:val="en-GB" w:eastAsia="zh-CN"/>
        </w:rPr>
      </w:pPr>
      <w:r>
        <w:rPr>
          <w:lang w:val="en-GB" w:eastAsia="zh-CN"/>
        </w:rPr>
        <w:t>The following may be observed for CE mode B:</w:t>
      </w:r>
    </w:p>
    <w:p w14:paraId="0FA0FFD6" w14:textId="77777777" w:rsidR="002D5614" w:rsidRPr="00C92FBB" w:rsidRDefault="002D5614" w:rsidP="002D5614">
      <w:pPr>
        <w:pStyle w:val="Observation"/>
        <w:rPr>
          <w:rFonts w:eastAsia="Times New Roman"/>
        </w:rPr>
      </w:pPr>
      <w:bookmarkStart w:id="419" w:name="_Toc510538403"/>
      <w:bookmarkStart w:id="420" w:name="_Toc510602950"/>
      <w:bookmarkStart w:id="421" w:name="_Toc510609683"/>
      <w:bookmarkStart w:id="422" w:name="_Toc510609767"/>
      <w:bookmarkStart w:id="423" w:name="_Toc510609779"/>
      <w:bookmarkStart w:id="424" w:name="_Toc510609805"/>
      <w:bookmarkStart w:id="425" w:name="_Toc510609850"/>
      <w:bookmarkStart w:id="426" w:name="_Toc510698727"/>
      <w:bookmarkStart w:id="427" w:name="_Toc510699178"/>
      <w:bookmarkStart w:id="428" w:name="_Toc510702867"/>
      <w:bookmarkStart w:id="429" w:name="_Toc510705015"/>
      <w:bookmarkStart w:id="430" w:name="_Toc510726929"/>
      <w:bookmarkStart w:id="431" w:name="_Toc510800082"/>
      <w:bookmarkStart w:id="432" w:name="_Toc510800117"/>
      <w:bookmarkStart w:id="433" w:name="_Toc510800303"/>
      <w:bookmarkStart w:id="434" w:name="_Toc510801591"/>
      <w:bookmarkStart w:id="435" w:name="_Toc513192894"/>
      <w:bookmarkStart w:id="436" w:name="_Toc513193025"/>
      <w:bookmarkStart w:id="437" w:name="_Toc513635329"/>
      <w:bookmarkStart w:id="438" w:name="_Toc513643181"/>
      <w:bookmarkStart w:id="439" w:name="_Toc513647098"/>
      <w:bookmarkStart w:id="440" w:name="_Toc513656507"/>
      <w:bookmarkStart w:id="441" w:name="_Toc513659481"/>
      <w:bookmarkStart w:id="442" w:name="_Toc513660074"/>
      <w:bookmarkStart w:id="443" w:name="_Toc513820086"/>
      <w:bookmarkStart w:id="444" w:name="_Toc513820363"/>
      <w:bookmarkStart w:id="445" w:name="_Toc513821099"/>
      <w:r>
        <w:t>For CE mode B, the size of DCI formats 6-0B and 6-1B is the same.</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r>
        <w:t xml:space="preserve"> </w:t>
      </w:r>
    </w:p>
    <w:p w14:paraId="611D0E6D" w14:textId="4D1B3217" w:rsidR="002D5614" w:rsidRDefault="00246D7E" w:rsidP="002D5614">
      <w:pPr>
        <w:pStyle w:val="Heading1"/>
      </w:pPr>
      <w:bookmarkStart w:id="446" w:name="_Ref513192830"/>
      <w:r>
        <w:t>Appendix B: Alignment of CE mode A PDSCH assignments to RBG</w:t>
      </w:r>
      <w:bookmarkEnd w:id="446"/>
    </w:p>
    <w:p w14:paraId="000D8B07" w14:textId="1210C025" w:rsidR="00246D7E" w:rsidRDefault="00246D7E" w:rsidP="00246D7E">
      <w:pPr>
        <w:rPr>
          <w:lang w:val="en-GB" w:eastAsia="zh-CN"/>
        </w:rPr>
      </w:pPr>
      <w:r>
        <w:rPr>
          <w:lang w:val="en-GB" w:eastAsia="zh-CN"/>
        </w:rPr>
        <w:t xml:space="preserve">An alternative usage of the 11 RIV values is to optimize the selected allocations for the different system bandwidths and narrowband locations. The relation of the RBGs to the narrowbands for the different system bandwidths is depicted in </w:t>
      </w:r>
      <w:r>
        <w:rPr>
          <w:lang w:val="en-GB" w:eastAsia="zh-CN"/>
        </w:rPr>
        <w:fldChar w:fldCharType="begin"/>
      </w:r>
      <w:r>
        <w:rPr>
          <w:lang w:val="en-GB" w:eastAsia="zh-CN"/>
        </w:rPr>
        <w:instrText xml:space="preserve"> REF _Ref505936912 \h </w:instrText>
      </w:r>
      <w:r>
        <w:rPr>
          <w:lang w:val="en-GB" w:eastAsia="zh-CN"/>
        </w:rPr>
      </w:r>
      <w:r>
        <w:rPr>
          <w:lang w:val="en-GB" w:eastAsia="zh-CN"/>
        </w:rPr>
        <w:fldChar w:fldCharType="separate"/>
      </w:r>
      <w:r w:rsidR="00725BFD">
        <w:t xml:space="preserve">Figure </w:t>
      </w:r>
      <w:r w:rsidR="00725BFD">
        <w:rPr>
          <w:noProof/>
        </w:rPr>
        <w:t>5</w:t>
      </w:r>
      <w:r>
        <w:rPr>
          <w:lang w:val="en-GB" w:eastAsia="zh-CN"/>
        </w:rPr>
        <w:fldChar w:fldCharType="end"/>
      </w:r>
      <w:r>
        <w:rPr>
          <w:lang w:val="en-GB" w:eastAsia="zh-CN"/>
        </w:rPr>
        <w:t xml:space="preserve">.  The alignment of the resource allocation to the RBGs is shown in </w:t>
      </w:r>
      <w:r w:rsidR="008D38DD">
        <w:rPr>
          <w:lang w:val="en-GB" w:eastAsia="zh-CN"/>
        </w:rPr>
        <w:fldChar w:fldCharType="begin"/>
      </w:r>
      <w:r w:rsidR="008D38DD">
        <w:rPr>
          <w:lang w:val="en-GB" w:eastAsia="zh-CN"/>
        </w:rPr>
        <w:instrText xml:space="preserve"> REF _Ref513192960 \h </w:instrText>
      </w:r>
      <w:r w:rsidR="008D38DD">
        <w:rPr>
          <w:lang w:val="en-GB" w:eastAsia="zh-CN"/>
        </w:rPr>
      </w:r>
      <w:r w:rsidR="008D38DD">
        <w:rPr>
          <w:lang w:val="en-GB" w:eastAsia="zh-CN"/>
        </w:rPr>
        <w:fldChar w:fldCharType="separate"/>
      </w:r>
      <w:r w:rsidR="00725BFD">
        <w:t xml:space="preserve">Figure </w:t>
      </w:r>
      <w:r w:rsidR="00725BFD">
        <w:rPr>
          <w:noProof/>
        </w:rPr>
        <w:t>9</w:t>
      </w:r>
      <w:r w:rsidR="008D38DD">
        <w:rPr>
          <w:lang w:val="en-GB" w:eastAsia="zh-CN"/>
        </w:rPr>
        <w:fldChar w:fldCharType="end"/>
      </w:r>
      <w:r w:rsidR="008D38DD">
        <w:rPr>
          <w:lang w:val="en-GB" w:eastAsia="zh-CN"/>
        </w:rPr>
        <w:t xml:space="preserve"> - </w:t>
      </w:r>
      <w:r w:rsidR="008D38DD">
        <w:rPr>
          <w:lang w:val="en-GB" w:eastAsia="zh-CN"/>
        </w:rPr>
        <w:fldChar w:fldCharType="begin"/>
      </w:r>
      <w:r w:rsidR="008D38DD">
        <w:rPr>
          <w:lang w:val="en-GB" w:eastAsia="zh-CN"/>
        </w:rPr>
        <w:instrText xml:space="preserve"> REF _Ref513192965 \h </w:instrText>
      </w:r>
      <w:r w:rsidR="008D38DD">
        <w:rPr>
          <w:lang w:val="en-GB" w:eastAsia="zh-CN"/>
        </w:rPr>
      </w:r>
      <w:r w:rsidR="008D38DD">
        <w:rPr>
          <w:lang w:val="en-GB" w:eastAsia="zh-CN"/>
        </w:rPr>
        <w:fldChar w:fldCharType="separate"/>
      </w:r>
      <w:r w:rsidR="00725BFD">
        <w:t xml:space="preserve">Figure </w:t>
      </w:r>
      <w:r w:rsidR="00725BFD">
        <w:rPr>
          <w:noProof/>
        </w:rPr>
        <w:t>12</w:t>
      </w:r>
      <w:r w:rsidR="008D38DD">
        <w:rPr>
          <w:lang w:val="en-GB" w:eastAsia="zh-CN"/>
        </w:rPr>
        <w:fldChar w:fldCharType="end"/>
      </w:r>
      <w:r>
        <w:rPr>
          <w:lang w:val="en-GB" w:eastAsia="zh-CN"/>
        </w:rPr>
        <w:t xml:space="preserve"> for the different system bandwidths.</w:t>
      </w:r>
    </w:p>
    <w:p w14:paraId="229B373A" w14:textId="77777777" w:rsidR="00246D7E" w:rsidRDefault="00246D7E" w:rsidP="00246D7E">
      <w:pPr>
        <w:keepNext/>
        <w:jc w:val="center"/>
      </w:pPr>
      <w:r>
        <w:rPr>
          <w:noProof/>
          <w:lang w:val="en-GB" w:eastAsia="zh-CN"/>
        </w:rPr>
        <w:lastRenderedPageBreak/>
        <w:drawing>
          <wp:inline distT="0" distB="0" distL="0" distR="0" wp14:anchorId="223DC041" wp14:editId="360553DB">
            <wp:extent cx="3162300" cy="5076825"/>
            <wp:effectExtent l="0" t="0" r="0" b="9525"/>
            <wp:docPr id="2" name="Picture 2" descr="C:\Users\erauae\Desktop\Studies\STAR\Flexible starting PRB\Added RIV 5MH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descr="C:\Users\erauae\Desktop\Studies\STAR\Flexible starting PRB\Added RIV 5MHz.png"/>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162300" cy="5076825"/>
                    </a:xfrm>
                    <a:prstGeom prst="rect">
                      <a:avLst/>
                    </a:prstGeom>
                    <a:noFill/>
                    <a:ln>
                      <a:noFill/>
                    </a:ln>
                  </pic:spPr>
                </pic:pic>
              </a:graphicData>
            </a:graphic>
          </wp:inline>
        </w:drawing>
      </w:r>
    </w:p>
    <w:p w14:paraId="37A281F1" w14:textId="15D78B11" w:rsidR="00246D7E" w:rsidRDefault="00246D7E" w:rsidP="00246D7E">
      <w:pPr>
        <w:pStyle w:val="Caption"/>
      </w:pPr>
      <w:bookmarkStart w:id="447" w:name="_Ref513192960"/>
      <w:r>
        <w:t xml:space="preserve">Figure </w:t>
      </w:r>
      <w:r w:rsidR="0092669D">
        <w:fldChar w:fldCharType="begin"/>
      </w:r>
      <w:r w:rsidR="0092669D">
        <w:instrText xml:space="preserve"> SEQ Figure \* ARABIC </w:instrText>
      </w:r>
      <w:r w:rsidR="0092669D">
        <w:fldChar w:fldCharType="separate"/>
      </w:r>
      <w:r w:rsidR="00725BFD">
        <w:rPr>
          <w:noProof/>
        </w:rPr>
        <w:t>9</w:t>
      </w:r>
      <w:r w:rsidR="0092669D">
        <w:rPr>
          <w:noProof/>
        </w:rPr>
        <w:fldChar w:fldCharType="end"/>
      </w:r>
      <w:bookmarkEnd w:id="447"/>
      <w:r>
        <w:t>: Conflicting alignments of RBG and narrowband for 3 and 5MHz system bandwidth.</w:t>
      </w:r>
    </w:p>
    <w:p w14:paraId="705FC1CE" w14:textId="77777777" w:rsidR="00246D7E" w:rsidRDefault="00246D7E" w:rsidP="00246D7E">
      <w:pPr>
        <w:keepNext/>
        <w:jc w:val="center"/>
      </w:pPr>
      <w:r>
        <w:rPr>
          <w:noProof/>
        </w:rPr>
        <w:lastRenderedPageBreak/>
        <w:drawing>
          <wp:inline distT="0" distB="0" distL="0" distR="0" wp14:anchorId="056ED506" wp14:editId="07EF0034">
            <wp:extent cx="3162300" cy="5076825"/>
            <wp:effectExtent l="0" t="0" r="0" b="9525"/>
            <wp:docPr id="13" name="Picture 13" descr="C:\Users\erauae\Desktop\Studies\STAR\Flexible starting PRB\Added RIV 10MH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descr="C:\Users\erauae\Desktop\Studies\STAR\Flexible starting PRB\Added RIV 10MHz.png"/>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162300" cy="5076825"/>
                    </a:xfrm>
                    <a:prstGeom prst="rect">
                      <a:avLst/>
                    </a:prstGeom>
                    <a:noFill/>
                    <a:ln>
                      <a:noFill/>
                    </a:ln>
                  </pic:spPr>
                </pic:pic>
              </a:graphicData>
            </a:graphic>
          </wp:inline>
        </w:drawing>
      </w:r>
    </w:p>
    <w:p w14:paraId="249AF213" w14:textId="4909AAA7" w:rsidR="00246D7E" w:rsidRDefault="00246D7E" w:rsidP="00246D7E">
      <w:pPr>
        <w:pStyle w:val="Caption"/>
      </w:pPr>
      <w:r>
        <w:t xml:space="preserve">Figure </w:t>
      </w:r>
      <w:r w:rsidR="0092669D">
        <w:fldChar w:fldCharType="begin"/>
      </w:r>
      <w:r w:rsidR="0092669D">
        <w:instrText xml:space="preserve"> SEQ Figure \* ARABIC </w:instrText>
      </w:r>
      <w:r w:rsidR="0092669D">
        <w:fldChar w:fldCharType="separate"/>
      </w:r>
      <w:r w:rsidR="00725BFD">
        <w:rPr>
          <w:noProof/>
        </w:rPr>
        <w:t>10</w:t>
      </w:r>
      <w:r w:rsidR="0092669D">
        <w:rPr>
          <w:noProof/>
        </w:rPr>
        <w:fldChar w:fldCharType="end"/>
      </w:r>
      <w:r>
        <w:t>: Conflicting alignments of RBG and narrowband for 10MHz system bandwidth.</w:t>
      </w:r>
    </w:p>
    <w:p w14:paraId="67458EA7" w14:textId="77777777" w:rsidR="00246D7E" w:rsidRDefault="00246D7E" w:rsidP="00246D7E">
      <w:pPr>
        <w:keepNext/>
        <w:jc w:val="center"/>
      </w:pPr>
      <w:r>
        <w:rPr>
          <w:noProof/>
        </w:rPr>
        <w:lastRenderedPageBreak/>
        <w:drawing>
          <wp:inline distT="0" distB="0" distL="0" distR="0" wp14:anchorId="76E78721" wp14:editId="2B37FEB1">
            <wp:extent cx="6115050" cy="4714875"/>
            <wp:effectExtent l="0" t="0" r="0" b="9525"/>
            <wp:docPr id="14" name="Picture 14" descr="C:\Users\erauae\Desktop\Studies\STAR\Flexible starting PRB\Added RIV 15MH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descr="C:\Users\erauae\Desktop\Studies\STAR\Flexible starting PRB\Added RIV 15MHz.png"/>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6115050" cy="4714875"/>
                    </a:xfrm>
                    <a:prstGeom prst="rect">
                      <a:avLst/>
                    </a:prstGeom>
                    <a:noFill/>
                    <a:ln>
                      <a:noFill/>
                    </a:ln>
                  </pic:spPr>
                </pic:pic>
              </a:graphicData>
            </a:graphic>
          </wp:inline>
        </w:drawing>
      </w:r>
    </w:p>
    <w:p w14:paraId="727E8F01" w14:textId="1E16044A" w:rsidR="00246D7E" w:rsidRDefault="00246D7E" w:rsidP="00246D7E">
      <w:pPr>
        <w:pStyle w:val="Caption"/>
      </w:pPr>
      <w:r>
        <w:t xml:space="preserve">Figure </w:t>
      </w:r>
      <w:r w:rsidR="0092669D">
        <w:fldChar w:fldCharType="begin"/>
      </w:r>
      <w:r w:rsidR="0092669D">
        <w:instrText xml:space="preserve"> SEQ Figure \* ARABIC </w:instrText>
      </w:r>
      <w:r w:rsidR="0092669D">
        <w:fldChar w:fldCharType="separate"/>
      </w:r>
      <w:r w:rsidR="00725BFD">
        <w:rPr>
          <w:noProof/>
        </w:rPr>
        <w:t>11</w:t>
      </w:r>
      <w:r w:rsidR="0092669D">
        <w:rPr>
          <w:noProof/>
        </w:rPr>
        <w:fldChar w:fldCharType="end"/>
      </w:r>
      <w:r>
        <w:t>: Conflicting alignments of RBG and narrowband for 15MHz system bandwidth.</w:t>
      </w:r>
    </w:p>
    <w:p w14:paraId="7C41209B" w14:textId="77777777" w:rsidR="00246D7E" w:rsidRDefault="00246D7E" w:rsidP="00246D7E">
      <w:pPr>
        <w:keepNext/>
        <w:jc w:val="center"/>
      </w:pPr>
      <w:r>
        <w:rPr>
          <w:noProof/>
        </w:rPr>
        <w:lastRenderedPageBreak/>
        <w:drawing>
          <wp:inline distT="0" distB="0" distL="0" distR="0" wp14:anchorId="1E328FF7" wp14:editId="14C9AB09">
            <wp:extent cx="6115050" cy="4714875"/>
            <wp:effectExtent l="0" t="0" r="0" b="9525"/>
            <wp:docPr id="15" name="Picture 15" descr="C:\Users\erauae\Desktop\Studies\STAR\Flexible starting PRB\Added RIV 20MH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descr="C:\Users\erauae\Desktop\Studies\STAR\Flexible starting PRB\Added RIV 20MHz.png"/>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6115050" cy="4714875"/>
                    </a:xfrm>
                    <a:prstGeom prst="rect">
                      <a:avLst/>
                    </a:prstGeom>
                    <a:noFill/>
                    <a:ln>
                      <a:noFill/>
                    </a:ln>
                  </pic:spPr>
                </pic:pic>
              </a:graphicData>
            </a:graphic>
          </wp:inline>
        </w:drawing>
      </w:r>
    </w:p>
    <w:p w14:paraId="698CD544" w14:textId="1DB258F9" w:rsidR="00246D7E" w:rsidRPr="005170DF" w:rsidRDefault="00246D7E" w:rsidP="00246D7E">
      <w:pPr>
        <w:pStyle w:val="Caption"/>
      </w:pPr>
      <w:bookmarkStart w:id="448" w:name="_Ref513192965"/>
      <w:r>
        <w:t xml:space="preserve">Figure </w:t>
      </w:r>
      <w:r w:rsidR="0092669D">
        <w:fldChar w:fldCharType="begin"/>
      </w:r>
      <w:r w:rsidR="0092669D">
        <w:instrText xml:space="preserve"> SEQ Figure \* ARABIC </w:instrText>
      </w:r>
      <w:r w:rsidR="0092669D">
        <w:fldChar w:fldCharType="separate"/>
      </w:r>
      <w:r w:rsidR="00725BFD">
        <w:rPr>
          <w:noProof/>
        </w:rPr>
        <w:t>12</w:t>
      </w:r>
      <w:r w:rsidR="0092669D">
        <w:rPr>
          <w:noProof/>
        </w:rPr>
        <w:fldChar w:fldCharType="end"/>
      </w:r>
      <w:bookmarkEnd w:id="448"/>
      <w:r>
        <w:t>: Conflicting alignments of RBG and narrowband for 20MHz system bandwidth.</w:t>
      </w:r>
    </w:p>
    <w:p w14:paraId="5ADE6E63" w14:textId="215F8F5B" w:rsidR="00246D7E" w:rsidRPr="000D336C" w:rsidRDefault="00246D7E" w:rsidP="00246D7E">
      <w:pPr>
        <w:rPr>
          <w:lang w:val="en-GB" w:eastAsia="zh-CN"/>
        </w:rPr>
      </w:pPr>
      <w:r>
        <w:rPr>
          <w:lang w:val="en-GB" w:eastAsia="zh-CN"/>
        </w:rPr>
        <w:t xml:space="preserve">From the diagrams it can be observed that although the starting PRB for the 5 PRB allocation is limited to only two PRBs within each narrowband, these two assignments can be used to minimize the number of unused PRBs due to RBG conflict. Thus, the proposed usage of the RIV values as outlined in </w:t>
      </w:r>
      <w:r>
        <w:rPr>
          <w:lang w:val="en-GB" w:eastAsia="zh-CN"/>
        </w:rPr>
        <w:fldChar w:fldCharType="begin"/>
      </w:r>
      <w:r>
        <w:rPr>
          <w:lang w:val="en-GB" w:eastAsia="zh-CN"/>
        </w:rPr>
        <w:instrText xml:space="preserve"> REF _Ref510638416 \h </w:instrText>
      </w:r>
      <w:r>
        <w:rPr>
          <w:lang w:val="en-GB" w:eastAsia="zh-CN"/>
        </w:rPr>
      </w:r>
      <w:r>
        <w:rPr>
          <w:lang w:val="en-GB" w:eastAsia="zh-CN"/>
        </w:rPr>
        <w:fldChar w:fldCharType="separate"/>
      </w:r>
      <w:r w:rsidR="00725BFD">
        <w:t xml:space="preserve">Figure </w:t>
      </w:r>
      <w:r w:rsidR="00725BFD">
        <w:rPr>
          <w:noProof/>
        </w:rPr>
        <w:t>1</w:t>
      </w:r>
      <w:r>
        <w:rPr>
          <w:lang w:val="en-GB" w:eastAsia="zh-CN"/>
        </w:rPr>
        <w:fldChar w:fldCharType="end"/>
      </w:r>
      <w:r>
        <w:rPr>
          <w:lang w:val="en-GB" w:eastAsia="zh-CN"/>
        </w:rPr>
        <w:t xml:space="preserve"> is suitable for all system bandwidths and may be used to align the allocations of different BL/CE UEs with minimal usage of the number of RBGs. </w:t>
      </w:r>
    </w:p>
    <w:p w14:paraId="41A75320" w14:textId="77777777" w:rsidR="00246D7E" w:rsidRPr="00246D7E" w:rsidRDefault="00246D7E" w:rsidP="00246D7E">
      <w:pPr>
        <w:rPr>
          <w:lang w:val="en-GB" w:eastAsia="zh-CN"/>
        </w:rPr>
      </w:pPr>
    </w:p>
    <w:sectPr w:rsidR="00246D7E" w:rsidRPr="00246D7E">
      <w:headerReference w:type="even" r:id="rId33"/>
      <w:headerReference w:type="default" r:id="rId34"/>
      <w:footerReference w:type="even" r:id="rId35"/>
      <w:footerReference w:type="default" r:id="rId36"/>
      <w:headerReference w:type="first" r:id="rId37"/>
      <w:footerReference w:type="first" r:id="rId3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606B7B" w14:textId="77777777" w:rsidR="0092669D" w:rsidRDefault="0092669D">
      <w:r>
        <w:separator/>
      </w:r>
    </w:p>
  </w:endnote>
  <w:endnote w:type="continuationSeparator" w:id="0">
    <w:p w14:paraId="05A33048" w14:textId="77777777" w:rsidR="0092669D" w:rsidRDefault="009266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EA8269" w14:textId="77777777" w:rsidR="001A3C91" w:rsidRDefault="001A3C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7F7262AC" w:rsidR="001A3C91" w:rsidRDefault="001A3C9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25BFD">
      <w:rPr>
        <w:rStyle w:val="PageNumber"/>
      </w:rPr>
      <w:t>20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25BFD">
      <w:rPr>
        <w:rStyle w:val="PageNumber"/>
      </w:rPr>
      <w:t>21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A82D1C" w14:textId="77777777" w:rsidR="001A3C91" w:rsidRDefault="001A3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2EBBB8" w14:textId="77777777" w:rsidR="0092669D" w:rsidRDefault="0092669D">
      <w:r>
        <w:separator/>
      </w:r>
    </w:p>
  </w:footnote>
  <w:footnote w:type="continuationSeparator" w:id="0">
    <w:p w14:paraId="60E828D8" w14:textId="77777777" w:rsidR="0092669D" w:rsidRDefault="009266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77777777" w:rsidR="001A3C91" w:rsidRDefault="001A3C9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71D0F" w14:textId="77777777" w:rsidR="001A3C91" w:rsidRDefault="001A3C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D9B9E" w14:textId="77777777" w:rsidR="001A3C91" w:rsidRDefault="001A3C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079E83C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B27CCFB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E1203D22"/>
    <w:lvl w:ilvl="0">
      <w:start w:val="1"/>
      <w:numFmt w:val="decimal"/>
      <w:lvlText w:val="%1."/>
      <w:lvlJc w:val="left"/>
      <w:pPr>
        <w:tabs>
          <w:tab w:val="num" w:pos="926"/>
        </w:tabs>
        <w:ind w:left="926" w:hanging="360"/>
      </w:pPr>
    </w:lvl>
  </w:abstractNum>
  <w:abstractNum w:abstractNumId="4" w15:restartNumberingAfterBreak="0">
    <w:nsid w:val="0225632F"/>
    <w:multiLevelType w:val="hybridMultilevel"/>
    <w:tmpl w:val="8362D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1992"/>
        </w:tabs>
        <w:ind w:left="199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287"/>
        </w:tabs>
        <w:ind w:left="1287"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B3C3DB6"/>
    <w:multiLevelType w:val="hybridMultilevel"/>
    <w:tmpl w:val="8370BF48"/>
    <w:lvl w:ilvl="0" w:tplc="041D000F">
      <w:start w:val="1"/>
      <w:numFmt w:val="decimal"/>
      <w:lvlText w:val="%1."/>
      <w:lvlJc w:val="left"/>
      <w:pPr>
        <w:ind w:left="1575" w:hanging="360"/>
      </w:pPr>
    </w:lvl>
    <w:lvl w:ilvl="1" w:tplc="041D0019" w:tentative="1">
      <w:start w:val="1"/>
      <w:numFmt w:val="lowerLetter"/>
      <w:lvlText w:val="%2."/>
      <w:lvlJc w:val="left"/>
      <w:pPr>
        <w:ind w:left="2295" w:hanging="360"/>
      </w:pPr>
    </w:lvl>
    <w:lvl w:ilvl="2" w:tplc="041D001B" w:tentative="1">
      <w:start w:val="1"/>
      <w:numFmt w:val="lowerRoman"/>
      <w:lvlText w:val="%3."/>
      <w:lvlJc w:val="right"/>
      <w:pPr>
        <w:ind w:left="3015" w:hanging="180"/>
      </w:pPr>
    </w:lvl>
    <w:lvl w:ilvl="3" w:tplc="041D000F" w:tentative="1">
      <w:start w:val="1"/>
      <w:numFmt w:val="decimal"/>
      <w:lvlText w:val="%4."/>
      <w:lvlJc w:val="left"/>
      <w:pPr>
        <w:ind w:left="3735" w:hanging="360"/>
      </w:pPr>
    </w:lvl>
    <w:lvl w:ilvl="4" w:tplc="041D0019" w:tentative="1">
      <w:start w:val="1"/>
      <w:numFmt w:val="lowerLetter"/>
      <w:lvlText w:val="%5."/>
      <w:lvlJc w:val="left"/>
      <w:pPr>
        <w:ind w:left="4455" w:hanging="360"/>
      </w:pPr>
    </w:lvl>
    <w:lvl w:ilvl="5" w:tplc="041D001B" w:tentative="1">
      <w:start w:val="1"/>
      <w:numFmt w:val="lowerRoman"/>
      <w:lvlText w:val="%6."/>
      <w:lvlJc w:val="right"/>
      <w:pPr>
        <w:ind w:left="5175" w:hanging="180"/>
      </w:pPr>
    </w:lvl>
    <w:lvl w:ilvl="6" w:tplc="041D000F" w:tentative="1">
      <w:start w:val="1"/>
      <w:numFmt w:val="decimal"/>
      <w:lvlText w:val="%7."/>
      <w:lvlJc w:val="left"/>
      <w:pPr>
        <w:ind w:left="5895" w:hanging="360"/>
      </w:pPr>
    </w:lvl>
    <w:lvl w:ilvl="7" w:tplc="041D0019" w:tentative="1">
      <w:start w:val="1"/>
      <w:numFmt w:val="lowerLetter"/>
      <w:lvlText w:val="%8."/>
      <w:lvlJc w:val="left"/>
      <w:pPr>
        <w:ind w:left="6615" w:hanging="360"/>
      </w:pPr>
    </w:lvl>
    <w:lvl w:ilvl="8" w:tplc="041D001B" w:tentative="1">
      <w:start w:val="1"/>
      <w:numFmt w:val="lowerRoman"/>
      <w:lvlText w:val="%9."/>
      <w:lvlJc w:val="right"/>
      <w:pPr>
        <w:ind w:left="7335" w:hanging="180"/>
      </w:pPr>
    </w:lvl>
  </w:abstractNum>
  <w:abstractNum w:abstractNumId="7" w15:restartNumberingAfterBreak="0">
    <w:nsid w:val="10C87820"/>
    <w:multiLevelType w:val="hybridMultilevel"/>
    <w:tmpl w:val="73366F8C"/>
    <w:lvl w:ilvl="0" w:tplc="C39E1B1C">
      <w:start w:val="1"/>
      <w:numFmt w:val="bullet"/>
      <w:lvlText w:val="•"/>
      <w:lvlJc w:val="left"/>
      <w:pPr>
        <w:tabs>
          <w:tab w:val="num" w:pos="720"/>
        </w:tabs>
        <w:ind w:left="720" w:hanging="360"/>
      </w:pPr>
      <w:rPr>
        <w:rFonts w:ascii="Arial" w:hAnsi="Arial" w:hint="default"/>
      </w:rPr>
    </w:lvl>
    <w:lvl w:ilvl="1" w:tplc="43243A1E">
      <w:start w:val="270"/>
      <w:numFmt w:val="bullet"/>
      <w:lvlText w:val="•"/>
      <w:lvlJc w:val="left"/>
      <w:pPr>
        <w:tabs>
          <w:tab w:val="num" w:pos="1440"/>
        </w:tabs>
        <w:ind w:left="1440" w:hanging="360"/>
      </w:pPr>
      <w:rPr>
        <w:rFonts w:ascii="Arial" w:hAnsi="Arial" w:hint="default"/>
      </w:rPr>
    </w:lvl>
    <w:lvl w:ilvl="2" w:tplc="1A0EFCFC">
      <w:start w:val="270"/>
      <w:numFmt w:val="bullet"/>
      <w:lvlText w:val="•"/>
      <w:lvlJc w:val="left"/>
      <w:pPr>
        <w:tabs>
          <w:tab w:val="num" w:pos="2160"/>
        </w:tabs>
        <w:ind w:left="2160" w:hanging="360"/>
      </w:pPr>
      <w:rPr>
        <w:rFonts w:ascii="Arial" w:hAnsi="Arial" w:hint="default"/>
      </w:rPr>
    </w:lvl>
    <w:lvl w:ilvl="3" w:tplc="12884226" w:tentative="1">
      <w:start w:val="1"/>
      <w:numFmt w:val="bullet"/>
      <w:lvlText w:val="•"/>
      <w:lvlJc w:val="left"/>
      <w:pPr>
        <w:tabs>
          <w:tab w:val="num" w:pos="2880"/>
        </w:tabs>
        <w:ind w:left="2880" w:hanging="360"/>
      </w:pPr>
      <w:rPr>
        <w:rFonts w:ascii="Arial" w:hAnsi="Arial" w:hint="default"/>
      </w:rPr>
    </w:lvl>
    <w:lvl w:ilvl="4" w:tplc="FF0E51FA" w:tentative="1">
      <w:start w:val="1"/>
      <w:numFmt w:val="bullet"/>
      <w:lvlText w:val="•"/>
      <w:lvlJc w:val="left"/>
      <w:pPr>
        <w:tabs>
          <w:tab w:val="num" w:pos="3600"/>
        </w:tabs>
        <w:ind w:left="3600" w:hanging="360"/>
      </w:pPr>
      <w:rPr>
        <w:rFonts w:ascii="Arial" w:hAnsi="Arial" w:hint="default"/>
      </w:rPr>
    </w:lvl>
    <w:lvl w:ilvl="5" w:tplc="5E8A4E96" w:tentative="1">
      <w:start w:val="1"/>
      <w:numFmt w:val="bullet"/>
      <w:lvlText w:val="•"/>
      <w:lvlJc w:val="left"/>
      <w:pPr>
        <w:tabs>
          <w:tab w:val="num" w:pos="4320"/>
        </w:tabs>
        <w:ind w:left="4320" w:hanging="360"/>
      </w:pPr>
      <w:rPr>
        <w:rFonts w:ascii="Arial" w:hAnsi="Arial" w:hint="default"/>
      </w:rPr>
    </w:lvl>
    <w:lvl w:ilvl="6" w:tplc="25EC2F08" w:tentative="1">
      <w:start w:val="1"/>
      <w:numFmt w:val="bullet"/>
      <w:lvlText w:val="•"/>
      <w:lvlJc w:val="left"/>
      <w:pPr>
        <w:tabs>
          <w:tab w:val="num" w:pos="5040"/>
        </w:tabs>
        <w:ind w:left="5040" w:hanging="360"/>
      </w:pPr>
      <w:rPr>
        <w:rFonts w:ascii="Arial" w:hAnsi="Arial" w:hint="default"/>
      </w:rPr>
    </w:lvl>
    <w:lvl w:ilvl="7" w:tplc="C2C45F80" w:tentative="1">
      <w:start w:val="1"/>
      <w:numFmt w:val="bullet"/>
      <w:lvlText w:val="•"/>
      <w:lvlJc w:val="left"/>
      <w:pPr>
        <w:tabs>
          <w:tab w:val="num" w:pos="5760"/>
        </w:tabs>
        <w:ind w:left="5760" w:hanging="360"/>
      </w:pPr>
      <w:rPr>
        <w:rFonts w:ascii="Arial" w:hAnsi="Arial" w:hint="default"/>
      </w:rPr>
    </w:lvl>
    <w:lvl w:ilvl="8" w:tplc="1EC60D7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9C5F7F"/>
    <w:multiLevelType w:val="hybridMultilevel"/>
    <w:tmpl w:val="BCE88930"/>
    <w:lvl w:ilvl="0" w:tplc="041D0001">
      <w:start w:val="1"/>
      <w:numFmt w:val="bullet"/>
      <w:lvlText w:val=""/>
      <w:lvlJc w:val="left"/>
      <w:pPr>
        <w:ind w:left="1575" w:hanging="360"/>
      </w:pPr>
      <w:rPr>
        <w:rFonts w:ascii="Symbol" w:hAnsi="Symbol" w:hint="default"/>
      </w:rPr>
    </w:lvl>
    <w:lvl w:ilvl="1" w:tplc="041D0003" w:tentative="1">
      <w:start w:val="1"/>
      <w:numFmt w:val="bullet"/>
      <w:lvlText w:val="o"/>
      <w:lvlJc w:val="left"/>
      <w:pPr>
        <w:ind w:left="2295" w:hanging="360"/>
      </w:pPr>
      <w:rPr>
        <w:rFonts w:ascii="Courier New" w:hAnsi="Courier New" w:cs="Courier New" w:hint="default"/>
      </w:rPr>
    </w:lvl>
    <w:lvl w:ilvl="2" w:tplc="041D0005" w:tentative="1">
      <w:start w:val="1"/>
      <w:numFmt w:val="bullet"/>
      <w:lvlText w:val=""/>
      <w:lvlJc w:val="left"/>
      <w:pPr>
        <w:ind w:left="3015" w:hanging="360"/>
      </w:pPr>
      <w:rPr>
        <w:rFonts w:ascii="Wingdings" w:hAnsi="Wingdings" w:hint="default"/>
      </w:rPr>
    </w:lvl>
    <w:lvl w:ilvl="3" w:tplc="041D0001" w:tentative="1">
      <w:start w:val="1"/>
      <w:numFmt w:val="bullet"/>
      <w:lvlText w:val=""/>
      <w:lvlJc w:val="left"/>
      <w:pPr>
        <w:ind w:left="3735" w:hanging="360"/>
      </w:pPr>
      <w:rPr>
        <w:rFonts w:ascii="Symbol" w:hAnsi="Symbol" w:hint="default"/>
      </w:rPr>
    </w:lvl>
    <w:lvl w:ilvl="4" w:tplc="041D0003" w:tentative="1">
      <w:start w:val="1"/>
      <w:numFmt w:val="bullet"/>
      <w:lvlText w:val="o"/>
      <w:lvlJc w:val="left"/>
      <w:pPr>
        <w:ind w:left="4455" w:hanging="360"/>
      </w:pPr>
      <w:rPr>
        <w:rFonts w:ascii="Courier New" w:hAnsi="Courier New" w:cs="Courier New" w:hint="default"/>
      </w:rPr>
    </w:lvl>
    <w:lvl w:ilvl="5" w:tplc="041D0005" w:tentative="1">
      <w:start w:val="1"/>
      <w:numFmt w:val="bullet"/>
      <w:lvlText w:val=""/>
      <w:lvlJc w:val="left"/>
      <w:pPr>
        <w:ind w:left="5175" w:hanging="360"/>
      </w:pPr>
      <w:rPr>
        <w:rFonts w:ascii="Wingdings" w:hAnsi="Wingdings" w:hint="default"/>
      </w:rPr>
    </w:lvl>
    <w:lvl w:ilvl="6" w:tplc="041D0001" w:tentative="1">
      <w:start w:val="1"/>
      <w:numFmt w:val="bullet"/>
      <w:lvlText w:val=""/>
      <w:lvlJc w:val="left"/>
      <w:pPr>
        <w:ind w:left="5895" w:hanging="360"/>
      </w:pPr>
      <w:rPr>
        <w:rFonts w:ascii="Symbol" w:hAnsi="Symbol" w:hint="default"/>
      </w:rPr>
    </w:lvl>
    <w:lvl w:ilvl="7" w:tplc="041D0003" w:tentative="1">
      <w:start w:val="1"/>
      <w:numFmt w:val="bullet"/>
      <w:lvlText w:val="o"/>
      <w:lvlJc w:val="left"/>
      <w:pPr>
        <w:ind w:left="6615" w:hanging="360"/>
      </w:pPr>
      <w:rPr>
        <w:rFonts w:ascii="Courier New" w:hAnsi="Courier New" w:cs="Courier New" w:hint="default"/>
      </w:rPr>
    </w:lvl>
    <w:lvl w:ilvl="8" w:tplc="041D0005" w:tentative="1">
      <w:start w:val="1"/>
      <w:numFmt w:val="bullet"/>
      <w:lvlText w:val=""/>
      <w:lvlJc w:val="left"/>
      <w:pPr>
        <w:ind w:left="7335" w:hanging="360"/>
      </w:pPr>
      <w:rPr>
        <w:rFonts w:ascii="Wingdings" w:hAnsi="Wingdings" w:hint="default"/>
      </w:rPr>
    </w:lvl>
  </w:abstractNum>
  <w:abstractNum w:abstractNumId="9" w15:restartNumberingAfterBreak="0">
    <w:nsid w:val="1A903D67"/>
    <w:multiLevelType w:val="hybridMultilevel"/>
    <w:tmpl w:val="9D60E0CA"/>
    <w:lvl w:ilvl="0" w:tplc="0409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1B1F2FB9"/>
    <w:multiLevelType w:val="hybridMultilevel"/>
    <w:tmpl w:val="ED3A8606"/>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2D3CE7"/>
    <w:multiLevelType w:val="hybridMultilevel"/>
    <w:tmpl w:val="725A730C"/>
    <w:lvl w:ilvl="0" w:tplc="9F5068A8">
      <w:start w:val="36"/>
      <w:numFmt w:val="bullet"/>
      <w:lvlText w:val="-"/>
      <w:lvlJc w:val="left"/>
      <w:pPr>
        <w:ind w:left="1290" w:hanging="360"/>
      </w:pPr>
      <w:rPr>
        <w:rFonts w:ascii="Times New Roman" w:eastAsia="Times New Roman" w:hAnsi="Times New Roman" w:cs="Times New Roman" w:hint="default"/>
      </w:rPr>
    </w:lvl>
    <w:lvl w:ilvl="1" w:tplc="041D0003" w:tentative="1">
      <w:start w:val="1"/>
      <w:numFmt w:val="bullet"/>
      <w:lvlText w:val="o"/>
      <w:lvlJc w:val="left"/>
      <w:pPr>
        <w:ind w:left="2010" w:hanging="360"/>
      </w:pPr>
      <w:rPr>
        <w:rFonts w:ascii="Courier New" w:hAnsi="Courier New" w:cs="Courier New" w:hint="default"/>
      </w:rPr>
    </w:lvl>
    <w:lvl w:ilvl="2" w:tplc="041D0005" w:tentative="1">
      <w:start w:val="1"/>
      <w:numFmt w:val="bullet"/>
      <w:lvlText w:val=""/>
      <w:lvlJc w:val="left"/>
      <w:pPr>
        <w:ind w:left="2730" w:hanging="360"/>
      </w:pPr>
      <w:rPr>
        <w:rFonts w:ascii="Wingdings" w:hAnsi="Wingdings" w:hint="default"/>
      </w:rPr>
    </w:lvl>
    <w:lvl w:ilvl="3" w:tplc="041D0001" w:tentative="1">
      <w:start w:val="1"/>
      <w:numFmt w:val="bullet"/>
      <w:lvlText w:val=""/>
      <w:lvlJc w:val="left"/>
      <w:pPr>
        <w:ind w:left="3450" w:hanging="360"/>
      </w:pPr>
      <w:rPr>
        <w:rFonts w:ascii="Symbol" w:hAnsi="Symbol" w:hint="default"/>
      </w:rPr>
    </w:lvl>
    <w:lvl w:ilvl="4" w:tplc="041D0003" w:tentative="1">
      <w:start w:val="1"/>
      <w:numFmt w:val="bullet"/>
      <w:lvlText w:val="o"/>
      <w:lvlJc w:val="left"/>
      <w:pPr>
        <w:ind w:left="4170" w:hanging="360"/>
      </w:pPr>
      <w:rPr>
        <w:rFonts w:ascii="Courier New" w:hAnsi="Courier New" w:cs="Courier New" w:hint="default"/>
      </w:rPr>
    </w:lvl>
    <w:lvl w:ilvl="5" w:tplc="041D0005" w:tentative="1">
      <w:start w:val="1"/>
      <w:numFmt w:val="bullet"/>
      <w:lvlText w:val=""/>
      <w:lvlJc w:val="left"/>
      <w:pPr>
        <w:ind w:left="4890" w:hanging="360"/>
      </w:pPr>
      <w:rPr>
        <w:rFonts w:ascii="Wingdings" w:hAnsi="Wingdings" w:hint="default"/>
      </w:rPr>
    </w:lvl>
    <w:lvl w:ilvl="6" w:tplc="041D0001" w:tentative="1">
      <w:start w:val="1"/>
      <w:numFmt w:val="bullet"/>
      <w:lvlText w:val=""/>
      <w:lvlJc w:val="left"/>
      <w:pPr>
        <w:ind w:left="5610" w:hanging="360"/>
      </w:pPr>
      <w:rPr>
        <w:rFonts w:ascii="Symbol" w:hAnsi="Symbol" w:hint="default"/>
      </w:rPr>
    </w:lvl>
    <w:lvl w:ilvl="7" w:tplc="041D0003" w:tentative="1">
      <w:start w:val="1"/>
      <w:numFmt w:val="bullet"/>
      <w:lvlText w:val="o"/>
      <w:lvlJc w:val="left"/>
      <w:pPr>
        <w:ind w:left="6330" w:hanging="360"/>
      </w:pPr>
      <w:rPr>
        <w:rFonts w:ascii="Courier New" w:hAnsi="Courier New" w:cs="Courier New" w:hint="default"/>
      </w:rPr>
    </w:lvl>
    <w:lvl w:ilvl="8" w:tplc="041D0005" w:tentative="1">
      <w:start w:val="1"/>
      <w:numFmt w:val="bullet"/>
      <w:lvlText w:val=""/>
      <w:lvlJc w:val="left"/>
      <w:pPr>
        <w:ind w:left="7050" w:hanging="360"/>
      </w:pPr>
      <w:rPr>
        <w:rFonts w:ascii="Wingdings" w:hAnsi="Wingdings" w:hint="default"/>
      </w:rPr>
    </w:lvl>
  </w:abstractNum>
  <w:abstractNum w:abstractNumId="12" w15:restartNumberingAfterBreak="0">
    <w:nsid w:val="23D8611A"/>
    <w:multiLevelType w:val="hybridMultilevel"/>
    <w:tmpl w:val="C8A84F0A"/>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3" w15:restartNumberingAfterBreak="0">
    <w:nsid w:val="29794C11"/>
    <w:multiLevelType w:val="hybridMultilevel"/>
    <w:tmpl w:val="F050ACB0"/>
    <w:lvl w:ilvl="0" w:tplc="0409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A693188"/>
    <w:multiLevelType w:val="hybridMultilevel"/>
    <w:tmpl w:val="CF3CCB02"/>
    <w:lvl w:ilvl="0" w:tplc="9F5068A8">
      <w:start w:val="36"/>
      <w:numFmt w:val="bullet"/>
      <w:lvlText w:val="-"/>
      <w:lvlJc w:val="left"/>
      <w:pPr>
        <w:ind w:left="1575" w:hanging="360"/>
      </w:pPr>
      <w:rPr>
        <w:rFonts w:ascii="Times New Roman" w:eastAsia="Times New Roman" w:hAnsi="Times New Roman" w:cs="Times New Roman" w:hint="default"/>
      </w:rPr>
    </w:lvl>
    <w:lvl w:ilvl="1" w:tplc="041D0003" w:tentative="1">
      <w:start w:val="1"/>
      <w:numFmt w:val="bullet"/>
      <w:lvlText w:val="o"/>
      <w:lvlJc w:val="left"/>
      <w:pPr>
        <w:ind w:left="2295" w:hanging="360"/>
      </w:pPr>
      <w:rPr>
        <w:rFonts w:ascii="Courier New" w:hAnsi="Courier New" w:cs="Courier New" w:hint="default"/>
      </w:rPr>
    </w:lvl>
    <w:lvl w:ilvl="2" w:tplc="041D0005" w:tentative="1">
      <w:start w:val="1"/>
      <w:numFmt w:val="bullet"/>
      <w:lvlText w:val=""/>
      <w:lvlJc w:val="left"/>
      <w:pPr>
        <w:ind w:left="3015" w:hanging="360"/>
      </w:pPr>
      <w:rPr>
        <w:rFonts w:ascii="Wingdings" w:hAnsi="Wingdings" w:hint="default"/>
      </w:rPr>
    </w:lvl>
    <w:lvl w:ilvl="3" w:tplc="041D0001" w:tentative="1">
      <w:start w:val="1"/>
      <w:numFmt w:val="bullet"/>
      <w:lvlText w:val=""/>
      <w:lvlJc w:val="left"/>
      <w:pPr>
        <w:ind w:left="3735" w:hanging="360"/>
      </w:pPr>
      <w:rPr>
        <w:rFonts w:ascii="Symbol" w:hAnsi="Symbol" w:hint="default"/>
      </w:rPr>
    </w:lvl>
    <w:lvl w:ilvl="4" w:tplc="041D0003" w:tentative="1">
      <w:start w:val="1"/>
      <w:numFmt w:val="bullet"/>
      <w:lvlText w:val="o"/>
      <w:lvlJc w:val="left"/>
      <w:pPr>
        <w:ind w:left="4455" w:hanging="360"/>
      </w:pPr>
      <w:rPr>
        <w:rFonts w:ascii="Courier New" w:hAnsi="Courier New" w:cs="Courier New" w:hint="default"/>
      </w:rPr>
    </w:lvl>
    <w:lvl w:ilvl="5" w:tplc="041D0005" w:tentative="1">
      <w:start w:val="1"/>
      <w:numFmt w:val="bullet"/>
      <w:lvlText w:val=""/>
      <w:lvlJc w:val="left"/>
      <w:pPr>
        <w:ind w:left="5175" w:hanging="360"/>
      </w:pPr>
      <w:rPr>
        <w:rFonts w:ascii="Wingdings" w:hAnsi="Wingdings" w:hint="default"/>
      </w:rPr>
    </w:lvl>
    <w:lvl w:ilvl="6" w:tplc="041D0001" w:tentative="1">
      <w:start w:val="1"/>
      <w:numFmt w:val="bullet"/>
      <w:lvlText w:val=""/>
      <w:lvlJc w:val="left"/>
      <w:pPr>
        <w:ind w:left="5895" w:hanging="360"/>
      </w:pPr>
      <w:rPr>
        <w:rFonts w:ascii="Symbol" w:hAnsi="Symbol" w:hint="default"/>
      </w:rPr>
    </w:lvl>
    <w:lvl w:ilvl="7" w:tplc="041D0003" w:tentative="1">
      <w:start w:val="1"/>
      <w:numFmt w:val="bullet"/>
      <w:lvlText w:val="o"/>
      <w:lvlJc w:val="left"/>
      <w:pPr>
        <w:ind w:left="6615" w:hanging="360"/>
      </w:pPr>
      <w:rPr>
        <w:rFonts w:ascii="Courier New" w:hAnsi="Courier New" w:cs="Courier New" w:hint="default"/>
      </w:rPr>
    </w:lvl>
    <w:lvl w:ilvl="8" w:tplc="041D0005" w:tentative="1">
      <w:start w:val="1"/>
      <w:numFmt w:val="bullet"/>
      <w:lvlText w:val=""/>
      <w:lvlJc w:val="left"/>
      <w:pPr>
        <w:ind w:left="7335"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C43CF7"/>
    <w:multiLevelType w:val="hybridMultilevel"/>
    <w:tmpl w:val="258CD6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15:restartNumberingAfterBreak="0">
    <w:nsid w:val="35426C32"/>
    <w:multiLevelType w:val="hybridMultilevel"/>
    <w:tmpl w:val="A1ACE29E"/>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EB1640"/>
    <w:multiLevelType w:val="hybridMultilevel"/>
    <w:tmpl w:val="74823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4E1CFB88"/>
    <w:lvl w:ilvl="0" w:tplc="1616B82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0C32ABD"/>
    <w:multiLevelType w:val="hybridMultilevel"/>
    <w:tmpl w:val="8E666858"/>
    <w:lvl w:ilvl="0" w:tplc="939A0E02">
      <w:numFmt w:val="bullet"/>
      <w:lvlText w:val="-"/>
      <w:lvlJc w:val="left"/>
      <w:pPr>
        <w:ind w:left="720" w:hanging="360"/>
      </w:pPr>
      <w:rPr>
        <w:rFonts w:ascii="Calibri" w:eastAsia="Times New Roman" w:hAnsi="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656C3C"/>
    <w:multiLevelType w:val="hybridMultilevel"/>
    <w:tmpl w:val="1D628416"/>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511023A"/>
    <w:multiLevelType w:val="hybridMultilevel"/>
    <w:tmpl w:val="58202BC8"/>
    <w:lvl w:ilvl="0" w:tplc="939A0E02">
      <w:numFmt w:val="bullet"/>
      <w:lvlText w:val="-"/>
      <w:lvlJc w:val="left"/>
      <w:pPr>
        <w:ind w:left="1571" w:hanging="360"/>
      </w:pPr>
      <w:rPr>
        <w:rFonts w:ascii="Calibri" w:eastAsia="Times New Roman" w:hAnsi="Calibri" w:hint="default"/>
      </w:rPr>
    </w:lvl>
    <w:lvl w:ilvl="1" w:tplc="041D0003" w:tentative="1">
      <w:start w:val="1"/>
      <w:numFmt w:val="bullet"/>
      <w:lvlText w:val="o"/>
      <w:lvlJc w:val="left"/>
      <w:pPr>
        <w:ind w:left="2291" w:hanging="360"/>
      </w:pPr>
      <w:rPr>
        <w:rFonts w:ascii="Courier New" w:hAnsi="Courier New" w:cs="Courier New" w:hint="default"/>
      </w:rPr>
    </w:lvl>
    <w:lvl w:ilvl="2" w:tplc="041D0005" w:tentative="1">
      <w:start w:val="1"/>
      <w:numFmt w:val="bullet"/>
      <w:lvlText w:val=""/>
      <w:lvlJc w:val="left"/>
      <w:pPr>
        <w:ind w:left="3011" w:hanging="360"/>
      </w:pPr>
      <w:rPr>
        <w:rFonts w:ascii="Wingdings" w:hAnsi="Wingdings" w:hint="default"/>
      </w:rPr>
    </w:lvl>
    <w:lvl w:ilvl="3" w:tplc="041D0001" w:tentative="1">
      <w:start w:val="1"/>
      <w:numFmt w:val="bullet"/>
      <w:lvlText w:val=""/>
      <w:lvlJc w:val="left"/>
      <w:pPr>
        <w:ind w:left="3731" w:hanging="360"/>
      </w:pPr>
      <w:rPr>
        <w:rFonts w:ascii="Symbol" w:hAnsi="Symbol" w:hint="default"/>
      </w:rPr>
    </w:lvl>
    <w:lvl w:ilvl="4" w:tplc="041D0003" w:tentative="1">
      <w:start w:val="1"/>
      <w:numFmt w:val="bullet"/>
      <w:lvlText w:val="o"/>
      <w:lvlJc w:val="left"/>
      <w:pPr>
        <w:ind w:left="4451" w:hanging="360"/>
      </w:pPr>
      <w:rPr>
        <w:rFonts w:ascii="Courier New" w:hAnsi="Courier New" w:cs="Courier New" w:hint="default"/>
      </w:rPr>
    </w:lvl>
    <w:lvl w:ilvl="5" w:tplc="041D0005" w:tentative="1">
      <w:start w:val="1"/>
      <w:numFmt w:val="bullet"/>
      <w:lvlText w:val=""/>
      <w:lvlJc w:val="left"/>
      <w:pPr>
        <w:ind w:left="5171" w:hanging="360"/>
      </w:pPr>
      <w:rPr>
        <w:rFonts w:ascii="Wingdings" w:hAnsi="Wingdings" w:hint="default"/>
      </w:rPr>
    </w:lvl>
    <w:lvl w:ilvl="6" w:tplc="041D0001" w:tentative="1">
      <w:start w:val="1"/>
      <w:numFmt w:val="bullet"/>
      <w:lvlText w:val=""/>
      <w:lvlJc w:val="left"/>
      <w:pPr>
        <w:ind w:left="5891" w:hanging="360"/>
      </w:pPr>
      <w:rPr>
        <w:rFonts w:ascii="Symbol" w:hAnsi="Symbol" w:hint="default"/>
      </w:rPr>
    </w:lvl>
    <w:lvl w:ilvl="7" w:tplc="041D0003" w:tentative="1">
      <w:start w:val="1"/>
      <w:numFmt w:val="bullet"/>
      <w:lvlText w:val="o"/>
      <w:lvlJc w:val="left"/>
      <w:pPr>
        <w:ind w:left="6611" w:hanging="360"/>
      </w:pPr>
      <w:rPr>
        <w:rFonts w:ascii="Courier New" w:hAnsi="Courier New" w:cs="Courier New" w:hint="default"/>
      </w:rPr>
    </w:lvl>
    <w:lvl w:ilvl="8" w:tplc="041D0005" w:tentative="1">
      <w:start w:val="1"/>
      <w:numFmt w:val="bullet"/>
      <w:lvlText w:val=""/>
      <w:lvlJc w:val="left"/>
      <w:pPr>
        <w:ind w:left="7331" w:hanging="360"/>
      </w:pPr>
      <w:rPr>
        <w:rFonts w:ascii="Wingdings" w:hAnsi="Wingdings" w:hint="default"/>
      </w:rPr>
    </w:lvl>
  </w:abstractNum>
  <w:abstractNum w:abstractNumId="30" w15:restartNumberingAfterBreak="0">
    <w:nsid w:val="69151C14"/>
    <w:multiLevelType w:val="hybridMultilevel"/>
    <w:tmpl w:val="BB4CCA18"/>
    <w:lvl w:ilvl="0" w:tplc="939A0E02">
      <w:numFmt w:val="bullet"/>
      <w:lvlText w:val="-"/>
      <w:lvlJc w:val="left"/>
      <w:pPr>
        <w:ind w:left="720" w:hanging="360"/>
      </w:pPr>
      <w:rPr>
        <w:rFonts w:ascii="Calibri" w:eastAsia="Times New Roman" w:hAnsi="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E9C2226"/>
    <w:multiLevelType w:val="hybridMultilevel"/>
    <w:tmpl w:val="8E0022A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15:restartNumberingAfterBreak="0">
    <w:nsid w:val="78017E76"/>
    <w:multiLevelType w:val="hybridMultilevel"/>
    <w:tmpl w:val="A960587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8A0699E"/>
    <w:multiLevelType w:val="hybridMultilevel"/>
    <w:tmpl w:val="2DA8032A"/>
    <w:lvl w:ilvl="0" w:tplc="939A0E02">
      <w:numFmt w:val="bullet"/>
      <w:lvlText w:val="-"/>
      <w:lvlJc w:val="left"/>
      <w:pPr>
        <w:ind w:left="720" w:hanging="360"/>
      </w:pPr>
      <w:rPr>
        <w:rFonts w:ascii="Calibri" w:eastAsia="Times New Roman" w:hAnsi="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A8E6C1F"/>
    <w:multiLevelType w:val="hybridMultilevel"/>
    <w:tmpl w:val="5394BD1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5" w15:restartNumberingAfterBreak="0">
    <w:nsid w:val="7D212289"/>
    <w:multiLevelType w:val="hybridMultilevel"/>
    <w:tmpl w:val="3008F21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5"/>
  </w:num>
  <w:num w:numId="2">
    <w:abstractNumId w:val="25"/>
  </w:num>
  <w:num w:numId="3">
    <w:abstractNumId w:val="21"/>
  </w:num>
  <w:num w:numId="4">
    <w:abstractNumId w:val="22"/>
  </w:num>
  <w:num w:numId="5">
    <w:abstractNumId w:val="16"/>
  </w:num>
  <w:num w:numId="6">
    <w:abstractNumId w:val="24"/>
  </w:num>
  <w:num w:numId="7">
    <w:abstractNumId w:val="28"/>
  </w:num>
  <w:num w:numId="8">
    <w:abstractNumId w:val="17"/>
  </w:num>
  <w:num w:numId="9">
    <w:abstractNumId w:val="15"/>
  </w:num>
  <w:num w:numId="10">
    <w:abstractNumId w:val="3"/>
  </w:num>
  <w:num w:numId="11">
    <w:abstractNumId w:val="2"/>
  </w:num>
  <w:num w:numId="12">
    <w:abstractNumId w:val="1"/>
  </w:num>
  <w:num w:numId="13">
    <w:abstractNumId w:val="26"/>
  </w:num>
  <w:num w:numId="14">
    <w:abstractNumId w:val="0"/>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9"/>
  </w:num>
  <w:num w:numId="18">
    <w:abstractNumId w:val="8"/>
  </w:num>
  <w:num w:numId="19">
    <w:abstractNumId w:val="6"/>
  </w:num>
  <w:num w:numId="20">
    <w:abstractNumId w:val="14"/>
  </w:num>
  <w:num w:numId="21">
    <w:abstractNumId w:val="11"/>
  </w:num>
  <w:num w:numId="22">
    <w:abstractNumId w:val="18"/>
  </w:num>
  <w:num w:numId="23">
    <w:abstractNumId w:val="34"/>
  </w:num>
  <w:num w:numId="24">
    <w:abstractNumId w:val="23"/>
  </w:num>
  <w:num w:numId="25">
    <w:abstractNumId w:val="13"/>
  </w:num>
  <w:num w:numId="26">
    <w:abstractNumId w:val="33"/>
  </w:num>
  <w:num w:numId="27">
    <w:abstractNumId w:val="30"/>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7"/>
  </w:num>
  <w:num w:numId="31">
    <w:abstractNumId w:val="20"/>
  </w:num>
  <w:num w:numId="32">
    <w:abstractNumId w:val="12"/>
  </w:num>
  <w:num w:numId="33">
    <w:abstractNumId w:val="31"/>
  </w:num>
  <w:num w:numId="34">
    <w:abstractNumId w:val="19"/>
  </w:num>
  <w:num w:numId="35">
    <w:abstractNumId w:val="27"/>
  </w:num>
  <w:num w:numId="36">
    <w:abstractNumId w:val="35"/>
  </w:num>
  <w:num w:numId="37">
    <w:abstractNumId w:val="10"/>
  </w:num>
  <w:num w:numId="3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83D"/>
    <w:rsid w:val="00002A37"/>
    <w:rsid w:val="00003EB2"/>
    <w:rsid w:val="00006446"/>
    <w:rsid w:val="00006896"/>
    <w:rsid w:val="00006CB0"/>
    <w:rsid w:val="00006EB5"/>
    <w:rsid w:val="00007CDC"/>
    <w:rsid w:val="00007FF9"/>
    <w:rsid w:val="00011B28"/>
    <w:rsid w:val="000145D9"/>
    <w:rsid w:val="00014F08"/>
    <w:rsid w:val="00015D15"/>
    <w:rsid w:val="00024089"/>
    <w:rsid w:val="00024592"/>
    <w:rsid w:val="00024DCC"/>
    <w:rsid w:val="0002531D"/>
    <w:rsid w:val="0002564D"/>
    <w:rsid w:val="00025ECA"/>
    <w:rsid w:val="00027708"/>
    <w:rsid w:val="00027D4C"/>
    <w:rsid w:val="00030150"/>
    <w:rsid w:val="00030884"/>
    <w:rsid w:val="00031879"/>
    <w:rsid w:val="000325B8"/>
    <w:rsid w:val="0003443C"/>
    <w:rsid w:val="00034C15"/>
    <w:rsid w:val="00036BA1"/>
    <w:rsid w:val="00036CC9"/>
    <w:rsid w:val="000421ED"/>
    <w:rsid w:val="000422E2"/>
    <w:rsid w:val="00042F22"/>
    <w:rsid w:val="000444EF"/>
    <w:rsid w:val="0004458C"/>
    <w:rsid w:val="00044B11"/>
    <w:rsid w:val="00045835"/>
    <w:rsid w:val="00050C7F"/>
    <w:rsid w:val="00051E5E"/>
    <w:rsid w:val="000523BE"/>
    <w:rsid w:val="00052A07"/>
    <w:rsid w:val="000534E3"/>
    <w:rsid w:val="00054F56"/>
    <w:rsid w:val="0005606A"/>
    <w:rsid w:val="00057117"/>
    <w:rsid w:val="00057DD3"/>
    <w:rsid w:val="0006035D"/>
    <w:rsid w:val="0006049B"/>
    <w:rsid w:val="000616E7"/>
    <w:rsid w:val="000621AF"/>
    <w:rsid w:val="0006487E"/>
    <w:rsid w:val="0006497F"/>
    <w:rsid w:val="000653F9"/>
    <w:rsid w:val="00065E1A"/>
    <w:rsid w:val="00076CA2"/>
    <w:rsid w:val="00077E5F"/>
    <w:rsid w:val="0008036A"/>
    <w:rsid w:val="00080E79"/>
    <w:rsid w:val="00081911"/>
    <w:rsid w:val="00081AE6"/>
    <w:rsid w:val="00082103"/>
    <w:rsid w:val="00085148"/>
    <w:rsid w:val="000855EB"/>
    <w:rsid w:val="00085B52"/>
    <w:rsid w:val="000866F2"/>
    <w:rsid w:val="000879E5"/>
    <w:rsid w:val="0009009F"/>
    <w:rsid w:val="00091557"/>
    <w:rsid w:val="000924C1"/>
    <w:rsid w:val="000924F0"/>
    <w:rsid w:val="0009296D"/>
    <w:rsid w:val="00093474"/>
    <w:rsid w:val="0009510F"/>
    <w:rsid w:val="00095872"/>
    <w:rsid w:val="0009783D"/>
    <w:rsid w:val="00097B3F"/>
    <w:rsid w:val="000A09E9"/>
    <w:rsid w:val="000A0AA7"/>
    <w:rsid w:val="000A1B7B"/>
    <w:rsid w:val="000A1DAB"/>
    <w:rsid w:val="000A4467"/>
    <w:rsid w:val="000A46E9"/>
    <w:rsid w:val="000A56F2"/>
    <w:rsid w:val="000A7EF5"/>
    <w:rsid w:val="000B0646"/>
    <w:rsid w:val="000B1931"/>
    <w:rsid w:val="000B2719"/>
    <w:rsid w:val="000B3A8F"/>
    <w:rsid w:val="000B4AB9"/>
    <w:rsid w:val="000B58C3"/>
    <w:rsid w:val="000B61E9"/>
    <w:rsid w:val="000B73F3"/>
    <w:rsid w:val="000B7B62"/>
    <w:rsid w:val="000C0F54"/>
    <w:rsid w:val="000C165A"/>
    <w:rsid w:val="000C1D25"/>
    <w:rsid w:val="000C2E19"/>
    <w:rsid w:val="000C3DE5"/>
    <w:rsid w:val="000D037B"/>
    <w:rsid w:val="000D0798"/>
    <w:rsid w:val="000D0D07"/>
    <w:rsid w:val="000D2DE7"/>
    <w:rsid w:val="000D336C"/>
    <w:rsid w:val="000D4797"/>
    <w:rsid w:val="000E04EF"/>
    <w:rsid w:val="000E0527"/>
    <w:rsid w:val="000E1E92"/>
    <w:rsid w:val="000E2241"/>
    <w:rsid w:val="000E4441"/>
    <w:rsid w:val="000F049A"/>
    <w:rsid w:val="000F06D6"/>
    <w:rsid w:val="000F0EB1"/>
    <w:rsid w:val="000F1106"/>
    <w:rsid w:val="000F35DF"/>
    <w:rsid w:val="000F3BE9"/>
    <w:rsid w:val="000F3F6C"/>
    <w:rsid w:val="000F4D67"/>
    <w:rsid w:val="000F5463"/>
    <w:rsid w:val="000F5DC4"/>
    <w:rsid w:val="000F61A2"/>
    <w:rsid w:val="000F674B"/>
    <w:rsid w:val="000F6DF3"/>
    <w:rsid w:val="000F764C"/>
    <w:rsid w:val="00100211"/>
    <w:rsid w:val="001005FF"/>
    <w:rsid w:val="001062FB"/>
    <w:rsid w:val="001063E6"/>
    <w:rsid w:val="001131A6"/>
    <w:rsid w:val="00113A28"/>
    <w:rsid w:val="00113CF4"/>
    <w:rsid w:val="001153EA"/>
    <w:rsid w:val="00115643"/>
    <w:rsid w:val="00116765"/>
    <w:rsid w:val="00120A96"/>
    <w:rsid w:val="00120C09"/>
    <w:rsid w:val="001219F5"/>
    <w:rsid w:val="00121A20"/>
    <w:rsid w:val="0012377F"/>
    <w:rsid w:val="00124314"/>
    <w:rsid w:val="001243CC"/>
    <w:rsid w:val="00126B4A"/>
    <w:rsid w:val="00126F2C"/>
    <w:rsid w:val="00132A3A"/>
    <w:rsid w:val="00132FD0"/>
    <w:rsid w:val="001344C0"/>
    <w:rsid w:val="001346FA"/>
    <w:rsid w:val="00135252"/>
    <w:rsid w:val="001358DD"/>
    <w:rsid w:val="0013723A"/>
    <w:rsid w:val="00137AB5"/>
    <w:rsid w:val="00137F0B"/>
    <w:rsid w:val="001411CF"/>
    <w:rsid w:val="0014763D"/>
    <w:rsid w:val="00147A2D"/>
    <w:rsid w:val="00151E23"/>
    <w:rsid w:val="001521A7"/>
    <w:rsid w:val="001526E0"/>
    <w:rsid w:val="001551B5"/>
    <w:rsid w:val="001556A6"/>
    <w:rsid w:val="0015646D"/>
    <w:rsid w:val="00156789"/>
    <w:rsid w:val="001575EE"/>
    <w:rsid w:val="00157BC4"/>
    <w:rsid w:val="00160760"/>
    <w:rsid w:val="001607E8"/>
    <w:rsid w:val="001632D4"/>
    <w:rsid w:val="00163969"/>
    <w:rsid w:val="0016544B"/>
    <w:rsid w:val="001659C1"/>
    <w:rsid w:val="00165A28"/>
    <w:rsid w:val="00170155"/>
    <w:rsid w:val="001735D9"/>
    <w:rsid w:val="00173A8E"/>
    <w:rsid w:val="00174A40"/>
    <w:rsid w:val="00175FFC"/>
    <w:rsid w:val="00176703"/>
    <w:rsid w:val="001772D7"/>
    <w:rsid w:val="00177795"/>
    <w:rsid w:val="00180BA9"/>
    <w:rsid w:val="00180FA4"/>
    <w:rsid w:val="0018143F"/>
    <w:rsid w:val="00182088"/>
    <w:rsid w:val="00184177"/>
    <w:rsid w:val="001841D8"/>
    <w:rsid w:val="001867EF"/>
    <w:rsid w:val="001877A9"/>
    <w:rsid w:val="00190AC1"/>
    <w:rsid w:val="00191AC0"/>
    <w:rsid w:val="0019341A"/>
    <w:rsid w:val="00196EA3"/>
    <w:rsid w:val="00197626"/>
    <w:rsid w:val="00197DF9"/>
    <w:rsid w:val="001A1987"/>
    <w:rsid w:val="001A2564"/>
    <w:rsid w:val="001A320D"/>
    <w:rsid w:val="001A3C91"/>
    <w:rsid w:val="001A539D"/>
    <w:rsid w:val="001A6173"/>
    <w:rsid w:val="001A6CBA"/>
    <w:rsid w:val="001A6DB2"/>
    <w:rsid w:val="001B0D97"/>
    <w:rsid w:val="001B383E"/>
    <w:rsid w:val="001B49C1"/>
    <w:rsid w:val="001B589F"/>
    <w:rsid w:val="001B5A5D"/>
    <w:rsid w:val="001B6441"/>
    <w:rsid w:val="001B6B6D"/>
    <w:rsid w:val="001C1CE5"/>
    <w:rsid w:val="001C3D2A"/>
    <w:rsid w:val="001C6008"/>
    <w:rsid w:val="001C614B"/>
    <w:rsid w:val="001C655F"/>
    <w:rsid w:val="001D51BA"/>
    <w:rsid w:val="001D5D65"/>
    <w:rsid w:val="001D6342"/>
    <w:rsid w:val="001D63D4"/>
    <w:rsid w:val="001D6D53"/>
    <w:rsid w:val="001E1CAD"/>
    <w:rsid w:val="001E58E2"/>
    <w:rsid w:val="001E7AED"/>
    <w:rsid w:val="001F3916"/>
    <w:rsid w:val="001F3E49"/>
    <w:rsid w:val="001F54C5"/>
    <w:rsid w:val="001F56A6"/>
    <w:rsid w:val="001F662C"/>
    <w:rsid w:val="001F6D28"/>
    <w:rsid w:val="001F7074"/>
    <w:rsid w:val="00200490"/>
    <w:rsid w:val="00200491"/>
    <w:rsid w:val="002008E0"/>
    <w:rsid w:val="00201F3A"/>
    <w:rsid w:val="00203F96"/>
    <w:rsid w:val="00204FC4"/>
    <w:rsid w:val="00205A7E"/>
    <w:rsid w:val="002069B2"/>
    <w:rsid w:val="00207FA3"/>
    <w:rsid w:val="002104C3"/>
    <w:rsid w:val="002105C6"/>
    <w:rsid w:val="0021284E"/>
    <w:rsid w:val="00212E98"/>
    <w:rsid w:val="002134B0"/>
    <w:rsid w:val="00214DA8"/>
    <w:rsid w:val="00214E88"/>
    <w:rsid w:val="0021507E"/>
    <w:rsid w:val="00215423"/>
    <w:rsid w:val="002158FA"/>
    <w:rsid w:val="00220600"/>
    <w:rsid w:val="002224DB"/>
    <w:rsid w:val="00223FCB"/>
    <w:rsid w:val="002252C3"/>
    <w:rsid w:val="002255A6"/>
    <w:rsid w:val="00225C54"/>
    <w:rsid w:val="002261FE"/>
    <w:rsid w:val="0022723C"/>
    <w:rsid w:val="00230765"/>
    <w:rsid w:val="002319E4"/>
    <w:rsid w:val="00232881"/>
    <w:rsid w:val="00232E58"/>
    <w:rsid w:val="00235632"/>
    <w:rsid w:val="00235872"/>
    <w:rsid w:val="002364E1"/>
    <w:rsid w:val="00241559"/>
    <w:rsid w:val="002435B3"/>
    <w:rsid w:val="002458EB"/>
    <w:rsid w:val="00246D7E"/>
    <w:rsid w:val="002500C8"/>
    <w:rsid w:val="00254694"/>
    <w:rsid w:val="00255EBB"/>
    <w:rsid w:val="002572FD"/>
    <w:rsid w:val="00257543"/>
    <w:rsid w:val="00257F72"/>
    <w:rsid w:val="00260DD7"/>
    <w:rsid w:val="0026164F"/>
    <w:rsid w:val="002617E7"/>
    <w:rsid w:val="00264228"/>
    <w:rsid w:val="00264334"/>
    <w:rsid w:val="0026473E"/>
    <w:rsid w:val="00266214"/>
    <w:rsid w:val="00267C83"/>
    <w:rsid w:val="00270063"/>
    <w:rsid w:val="002703DC"/>
    <w:rsid w:val="00270C04"/>
    <w:rsid w:val="00270F88"/>
    <w:rsid w:val="0027144F"/>
    <w:rsid w:val="00271F3A"/>
    <w:rsid w:val="00273278"/>
    <w:rsid w:val="0027342E"/>
    <w:rsid w:val="002737F4"/>
    <w:rsid w:val="002739B2"/>
    <w:rsid w:val="00273AC9"/>
    <w:rsid w:val="00275319"/>
    <w:rsid w:val="002805F5"/>
    <w:rsid w:val="00280751"/>
    <w:rsid w:val="00280DD7"/>
    <w:rsid w:val="0028280A"/>
    <w:rsid w:val="00282A58"/>
    <w:rsid w:val="00284C96"/>
    <w:rsid w:val="002850BB"/>
    <w:rsid w:val="0028543E"/>
    <w:rsid w:val="002857CA"/>
    <w:rsid w:val="00286ACD"/>
    <w:rsid w:val="00287556"/>
    <w:rsid w:val="00287838"/>
    <w:rsid w:val="002907B5"/>
    <w:rsid w:val="00290F9A"/>
    <w:rsid w:val="00292EB7"/>
    <w:rsid w:val="00294739"/>
    <w:rsid w:val="00296227"/>
    <w:rsid w:val="0029672B"/>
    <w:rsid w:val="00296F44"/>
    <w:rsid w:val="0029777D"/>
    <w:rsid w:val="00297D0B"/>
    <w:rsid w:val="002A055E"/>
    <w:rsid w:val="002A1D4E"/>
    <w:rsid w:val="002A2869"/>
    <w:rsid w:val="002A2FBC"/>
    <w:rsid w:val="002B245C"/>
    <w:rsid w:val="002B24D6"/>
    <w:rsid w:val="002B3345"/>
    <w:rsid w:val="002B6DCF"/>
    <w:rsid w:val="002C0CBD"/>
    <w:rsid w:val="002C41E6"/>
    <w:rsid w:val="002C5BA4"/>
    <w:rsid w:val="002C5FD0"/>
    <w:rsid w:val="002C6204"/>
    <w:rsid w:val="002C7B34"/>
    <w:rsid w:val="002D071A"/>
    <w:rsid w:val="002D34B2"/>
    <w:rsid w:val="002D3D0B"/>
    <w:rsid w:val="002D5614"/>
    <w:rsid w:val="002D7637"/>
    <w:rsid w:val="002E01E1"/>
    <w:rsid w:val="002E08E5"/>
    <w:rsid w:val="002E17F2"/>
    <w:rsid w:val="002E2CD2"/>
    <w:rsid w:val="002E7CAE"/>
    <w:rsid w:val="002F2771"/>
    <w:rsid w:val="002F37A9"/>
    <w:rsid w:val="002F7CF8"/>
    <w:rsid w:val="002F7D9F"/>
    <w:rsid w:val="00301CE6"/>
    <w:rsid w:val="0030256B"/>
    <w:rsid w:val="00302D38"/>
    <w:rsid w:val="00303D11"/>
    <w:rsid w:val="00304D4F"/>
    <w:rsid w:val="0030501F"/>
    <w:rsid w:val="00306121"/>
    <w:rsid w:val="00307BA1"/>
    <w:rsid w:val="00307E75"/>
    <w:rsid w:val="00311702"/>
    <w:rsid w:val="00311E82"/>
    <w:rsid w:val="003136E2"/>
    <w:rsid w:val="003137A3"/>
    <w:rsid w:val="00313FD6"/>
    <w:rsid w:val="003143BD"/>
    <w:rsid w:val="003203ED"/>
    <w:rsid w:val="003221D5"/>
    <w:rsid w:val="00322C9F"/>
    <w:rsid w:val="003233A1"/>
    <w:rsid w:val="00324D23"/>
    <w:rsid w:val="003312E8"/>
    <w:rsid w:val="00331751"/>
    <w:rsid w:val="00332855"/>
    <w:rsid w:val="00332B3B"/>
    <w:rsid w:val="00334376"/>
    <w:rsid w:val="00334579"/>
    <w:rsid w:val="0033489F"/>
    <w:rsid w:val="00335858"/>
    <w:rsid w:val="00336BDA"/>
    <w:rsid w:val="003403E5"/>
    <w:rsid w:val="00342BD7"/>
    <w:rsid w:val="00343A07"/>
    <w:rsid w:val="00346DB5"/>
    <w:rsid w:val="003477B1"/>
    <w:rsid w:val="00347B74"/>
    <w:rsid w:val="003525D2"/>
    <w:rsid w:val="003547E6"/>
    <w:rsid w:val="00354C53"/>
    <w:rsid w:val="00355285"/>
    <w:rsid w:val="00357380"/>
    <w:rsid w:val="00357F4D"/>
    <w:rsid w:val="003602D9"/>
    <w:rsid w:val="003604CE"/>
    <w:rsid w:val="003661CC"/>
    <w:rsid w:val="00370E47"/>
    <w:rsid w:val="003728DF"/>
    <w:rsid w:val="00373E55"/>
    <w:rsid w:val="003742AC"/>
    <w:rsid w:val="0037663F"/>
    <w:rsid w:val="00377364"/>
    <w:rsid w:val="0037756E"/>
    <w:rsid w:val="00377CE1"/>
    <w:rsid w:val="0038031B"/>
    <w:rsid w:val="0038247D"/>
    <w:rsid w:val="003825B0"/>
    <w:rsid w:val="00385BF0"/>
    <w:rsid w:val="0038607F"/>
    <w:rsid w:val="003934D5"/>
    <w:rsid w:val="003939FF"/>
    <w:rsid w:val="00394F92"/>
    <w:rsid w:val="003A0CE1"/>
    <w:rsid w:val="003A0E74"/>
    <w:rsid w:val="003A1862"/>
    <w:rsid w:val="003A2223"/>
    <w:rsid w:val="003A2A0F"/>
    <w:rsid w:val="003A45A1"/>
    <w:rsid w:val="003A519D"/>
    <w:rsid w:val="003A5895"/>
    <w:rsid w:val="003A5B0A"/>
    <w:rsid w:val="003A6BAC"/>
    <w:rsid w:val="003A7264"/>
    <w:rsid w:val="003A7446"/>
    <w:rsid w:val="003A7509"/>
    <w:rsid w:val="003A7EF3"/>
    <w:rsid w:val="003B159C"/>
    <w:rsid w:val="003B1F3E"/>
    <w:rsid w:val="003B21FC"/>
    <w:rsid w:val="003B369F"/>
    <w:rsid w:val="003B36A3"/>
    <w:rsid w:val="003B45F0"/>
    <w:rsid w:val="003B4FBC"/>
    <w:rsid w:val="003B6365"/>
    <w:rsid w:val="003B6794"/>
    <w:rsid w:val="003B791D"/>
    <w:rsid w:val="003B7FE5"/>
    <w:rsid w:val="003C051F"/>
    <w:rsid w:val="003C11C8"/>
    <w:rsid w:val="003C140F"/>
    <w:rsid w:val="003C2550"/>
    <w:rsid w:val="003C2702"/>
    <w:rsid w:val="003C4290"/>
    <w:rsid w:val="003C5BCC"/>
    <w:rsid w:val="003C72FB"/>
    <w:rsid w:val="003C7806"/>
    <w:rsid w:val="003D03D1"/>
    <w:rsid w:val="003D109F"/>
    <w:rsid w:val="003D2167"/>
    <w:rsid w:val="003D2478"/>
    <w:rsid w:val="003D2686"/>
    <w:rsid w:val="003D3C45"/>
    <w:rsid w:val="003D4BE4"/>
    <w:rsid w:val="003D5AD7"/>
    <w:rsid w:val="003D5B1F"/>
    <w:rsid w:val="003E1125"/>
    <w:rsid w:val="003E15FA"/>
    <w:rsid w:val="003E3946"/>
    <w:rsid w:val="003E422C"/>
    <w:rsid w:val="003E55E4"/>
    <w:rsid w:val="003E661A"/>
    <w:rsid w:val="003E74E3"/>
    <w:rsid w:val="003F05C7"/>
    <w:rsid w:val="003F0E11"/>
    <w:rsid w:val="003F175B"/>
    <w:rsid w:val="003F2CD4"/>
    <w:rsid w:val="003F4919"/>
    <w:rsid w:val="003F6BBE"/>
    <w:rsid w:val="003F7F62"/>
    <w:rsid w:val="004000E8"/>
    <w:rsid w:val="00401CBC"/>
    <w:rsid w:val="004023DE"/>
    <w:rsid w:val="00402E2B"/>
    <w:rsid w:val="00403552"/>
    <w:rsid w:val="00405050"/>
    <w:rsid w:val="0040512B"/>
    <w:rsid w:val="00405CA5"/>
    <w:rsid w:val="004069CB"/>
    <w:rsid w:val="00407CD3"/>
    <w:rsid w:val="00410134"/>
    <w:rsid w:val="00410377"/>
    <w:rsid w:val="00410B72"/>
    <w:rsid w:val="00410F18"/>
    <w:rsid w:val="0041263E"/>
    <w:rsid w:val="00413AAC"/>
    <w:rsid w:val="0041473F"/>
    <w:rsid w:val="00414F58"/>
    <w:rsid w:val="004159D5"/>
    <w:rsid w:val="00421105"/>
    <w:rsid w:val="004212C6"/>
    <w:rsid w:val="004242F4"/>
    <w:rsid w:val="00427248"/>
    <w:rsid w:val="004300F4"/>
    <w:rsid w:val="0043704F"/>
    <w:rsid w:val="004371DF"/>
    <w:rsid w:val="00437447"/>
    <w:rsid w:val="00437D10"/>
    <w:rsid w:val="004417DD"/>
    <w:rsid w:val="00441A92"/>
    <w:rsid w:val="00442013"/>
    <w:rsid w:val="00444F56"/>
    <w:rsid w:val="00446488"/>
    <w:rsid w:val="004503FF"/>
    <w:rsid w:val="004517AA"/>
    <w:rsid w:val="00452CAC"/>
    <w:rsid w:val="00453DD3"/>
    <w:rsid w:val="00457565"/>
    <w:rsid w:val="00457B71"/>
    <w:rsid w:val="00461E0F"/>
    <w:rsid w:val="00462AF6"/>
    <w:rsid w:val="00464494"/>
    <w:rsid w:val="004669E2"/>
    <w:rsid w:val="004674D2"/>
    <w:rsid w:val="00470C31"/>
    <w:rsid w:val="00472D3A"/>
    <w:rsid w:val="004734D0"/>
    <w:rsid w:val="0047556B"/>
    <w:rsid w:val="004758F6"/>
    <w:rsid w:val="00475E76"/>
    <w:rsid w:val="00477768"/>
    <w:rsid w:val="00480E36"/>
    <w:rsid w:val="00492BC5"/>
    <w:rsid w:val="00493210"/>
    <w:rsid w:val="00495935"/>
    <w:rsid w:val="004964F1"/>
    <w:rsid w:val="004A16BC"/>
    <w:rsid w:val="004A2B94"/>
    <w:rsid w:val="004A2E66"/>
    <w:rsid w:val="004B2627"/>
    <w:rsid w:val="004B4018"/>
    <w:rsid w:val="004B6ADD"/>
    <w:rsid w:val="004B740C"/>
    <w:rsid w:val="004B7C0C"/>
    <w:rsid w:val="004B7E7A"/>
    <w:rsid w:val="004C1EB4"/>
    <w:rsid w:val="004C1EF3"/>
    <w:rsid w:val="004C336C"/>
    <w:rsid w:val="004C3898"/>
    <w:rsid w:val="004C62E8"/>
    <w:rsid w:val="004C655E"/>
    <w:rsid w:val="004D157B"/>
    <w:rsid w:val="004D29C6"/>
    <w:rsid w:val="004D2D63"/>
    <w:rsid w:val="004D36B1"/>
    <w:rsid w:val="004D4970"/>
    <w:rsid w:val="004D7EBD"/>
    <w:rsid w:val="004E2326"/>
    <w:rsid w:val="004E2680"/>
    <w:rsid w:val="004E28F9"/>
    <w:rsid w:val="004E293B"/>
    <w:rsid w:val="004E2F45"/>
    <w:rsid w:val="004E462E"/>
    <w:rsid w:val="004E56DC"/>
    <w:rsid w:val="004E76F4"/>
    <w:rsid w:val="004F0B4E"/>
    <w:rsid w:val="004F0B6C"/>
    <w:rsid w:val="004F10AA"/>
    <w:rsid w:val="004F1573"/>
    <w:rsid w:val="004F2078"/>
    <w:rsid w:val="004F3DE4"/>
    <w:rsid w:val="004F4997"/>
    <w:rsid w:val="004F4DA3"/>
    <w:rsid w:val="004F5A14"/>
    <w:rsid w:val="004F75DD"/>
    <w:rsid w:val="0050135E"/>
    <w:rsid w:val="0050337A"/>
    <w:rsid w:val="00504A00"/>
    <w:rsid w:val="00504A0E"/>
    <w:rsid w:val="00506557"/>
    <w:rsid w:val="0050677A"/>
    <w:rsid w:val="00507E29"/>
    <w:rsid w:val="005103F9"/>
    <w:rsid w:val="005108D8"/>
    <w:rsid w:val="00511031"/>
    <w:rsid w:val="0051113B"/>
    <w:rsid w:val="005116F9"/>
    <w:rsid w:val="00512175"/>
    <w:rsid w:val="005153A7"/>
    <w:rsid w:val="00515DBA"/>
    <w:rsid w:val="005170DF"/>
    <w:rsid w:val="005219CF"/>
    <w:rsid w:val="00524A40"/>
    <w:rsid w:val="005264B1"/>
    <w:rsid w:val="00534B59"/>
    <w:rsid w:val="00536759"/>
    <w:rsid w:val="00537C62"/>
    <w:rsid w:val="00546970"/>
    <w:rsid w:val="00547F4D"/>
    <w:rsid w:val="00550419"/>
    <w:rsid w:val="00552E92"/>
    <w:rsid w:val="0055422D"/>
    <w:rsid w:val="00554E19"/>
    <w:rsid w:val="0056121F"/>
    <w:rsid w:val="00562218"/>
    <w:rsid w:val="00562A5D"/>
    <w:rsid w:val="00565243"/>
    <w:rsid w:val="00571468"/>
    <w:rsid w:val="00571722"/>
    <w:rsid w:val="00572505"/>
    <w:rsid w:val="00572CF3"/>
    <w:rsid w:val="00576364"/>
    <w:rsid w:val="0058187E"/>
    <w:rsid w:val="00582809"/>
    <w:rsid w:val="00585971"/>
    <w:rsid w:val="00585F05"/>
    <w:rsid w:val="0058798C"/>
    <w:rsid w:val="005900FA"/>
    <w:rsid w:val="005935A4"/>
    <w:rsid w:val="005948C2"/>
    <w:rsid w:val="0059505B"/>
    <w:rsid w:val="00595DCA"/>
    <w:rsid w:val="0059779B"/>
    <w:rsid w:val="005A0DD9"/>
    <w:rsid w:val="005A209A"/>
    <w:rsid w:val="005A2B3D"/>
    <w:rsid w:val="005A3903"/>
    <w:rsid w:val="005A662D"/>
    <w:rsid w:val="005B11BA"/>
    <w:rsid w:val="005B34B0"/>
    <w:rsid w:val="005B35D7"/>
    <w:rsid w:val="005B392A"/>
    <w:rsid w:val="005B3AA3"/>
    <w:rsid w:val="005B5FCF"/>
    <w:rsid w:val="005B64AF"/>
    <w:rsid w:val="005B66F0"/>
    <w:rsid w:val="005B6F83"/>
    <w:rsid w:val="005B7EC6"/>
    <w:rsid w:val="005C2417"/>
    <w:rsid w:val="005C4A40"/>
    <w:rsid w:val="005C54F4"/>
    <w:rsid w:val="005C6D84"/>
    <w:rsid w:val="005C74FB"/>
    <w:rsid w:val="005D1602"/>
    <w:rsid w:val="005D3174"/>
    <w:rsid w:val="005D3377"/>
    <w:rsid w:val="005D587B"/>
    <w:rsid w:val="005E385F"/>
    <w:rsid w:val="005E5B81"/>
    <w:rsid w:val="005E6760"/>
    <w:rsid w:val="005F01F7"/>
    <w:rsid w:val="005F2192"/>
    <w:rsid w:val="005F2569"/>
    <w:rsid w:val="005F2CB1"/>
    <w:rsid w:val="005F3025"/>
    <w:rsid w:val="005F452A"/>
    <w:rsid w:val="005F618C"/>
    <w:rsid w:val="005F6AFF"/>
    <w:rsid w:val="005F70BD"/>
    <w:rsid w:val="0060283C"/>
    <w:rsid w:val="00603273"/>
    <w:rsid w:val="006038C7"/>
    <w:rsid w:val="006042FA"/>
    <w:rsid w:val="00604D04"/>
    <w:rsid w:val="00604F14"/>
    <w:rsid w:val="00605F91"/>
    <w:rsid w:val="006104D9"/>
    <w:rsid w:val="00611B50"/>
    <w:rsid w:val="00611B83"/>
    <w:rsid w:val="00612282"/>
    <w:rsid w:val="00613257"/>
    <w:rsid w:val="00613C54"/>
    <w:rsid w:val="00613E5C"/>
    <w:rsid w:val="00616CB0"/>
    <w:rsid w:val="00620432"/>
    <w:rsid w:val="00620A71"/>
    <w:rsid w:val="00620C3D"/>
    <w:rsid w:val="00620D80"/>
    <w:rsid w:val="006212A9"/>
    <w:rsid w:val="006234A6"/>
    <w:rsid w:val="006249FC"/>
    <w:rsid w:val="00624E1E"/>
    <w:rsid w:val="00625AC4"/>
    <w:rsid w:val="0062699A"/>
    <w:rsid w:val="00630001"/>
    <w:rsid w:val="006311B3"/>
    <w:rsid w:val="0063284C"/>
    <w:rsid w:val="006356B7"/>
    <w:rsid w:val="00636398"/>
    <w:rsid w:val="006368D3"/>
    <w:rsid w:val="006377EC"/>
    <w:rsid w:val="0064151F"/>
    <w:rsid w:val="00641533"/>
    <w:rsid w:val="0064208D"/>
    <w:rsid w:val="00643475"/>
    <w:rsid w:val="0064396A"/>
    <w:rsid w:val="0064559D"/>
    <w:rsid w:val="0064624E"/>
    <w:rsid w:val="00647C61"/>
    <w:rsid w:val="00650AB9"/>
    <w:rsid w:val="00652E17"/>
    <w:rsid w:val="00654282"/>
    <w:rsid w:val="00655733"/>
    <w:rsid w:val="006559CB"/>
    <w:rsid w:val="00655ACD"/>
    <w:rsid w:val="006567F3"/>
    <w:rsid w:val="00656A92"/>
    <w:rsid w:val="00656DDE"/>
    <w:rsid w:val="0065724A"/>
    <w:rsid w:val="0066011D"/>
    <w:rsid w:val="006607C0"/>
    <w:rsid w:val="00660B63"/>
    <w:rsid w:val="006613A6"/>
    <w:rsid w:val="006627A2"/>
    <w:rsid w:val="00662AD2"/>
    <w:rsid w:val="006634E6"/>
    <w:rsid w:val="006655EE"/>
    <w:rsid w:val="00665D2E"/>
    <w:rsid w:val="00665F35"/>
    <w:rsid w:val="00667EE7"/>
    <w:rsid w:val="00670922"/>
    <w:rsid w:val="00670BE1"/>
    <w:rsid w:val="00670E4D"/>
    <w:rsid w:val="0067218F"/>
    <w:rsid w:val="006741F2"/>
    <w:rsid w:val="00674CC3"/>
    <w:rsid w:val="00675080"/>
    <w:rsid w:val="00675C72"/>
    <w:rsid w:val="006771F9"/>
    <w:rsid w:val="006776D7"/>
    <w:rsid w:val="00677C6A"/>
    <w:rsid w:val="00681003"/>
    <w:rsid w:val="006817C9"/>
    <w:rsid w:val="0068388E"/>
    <w:rsid w:val="00683ECE"/>
    <w:rsid w:val="00684823"/>
    <w:rsid w:val="00690445"/>
    <w:rsid w:val="00690E66"/>
    <w:rsid w:val="00695FC2"/>
    <w:rsid w:val="00696949"/>
    <w:rsid w:val="00697052"/>
    <w:rsid w:val="006A0153"/>
    <w:rsid w:val="006A177E"/>
    <w:rsid w:val="006A182D"/>
    <w:rsid w:val="006A3A4F"/>
    <w:rsid w:val="006A46FB"/>
    <w:rsid w:val="006A5E28"/>
    <w:rsid w:val="006A6892"/>
    <w:rsid w:val="006A6906"/>
    <w:rsid w:val="006A697B"/>
    <w:rsid w:val="006A69F1"/>
    <w:rsid w:val="006A7AFF"/>
    <w:rsid w:val="006B1816"/>
    <w:rsid w:val="006B2099"/>
    <w:rsid w:val="006B3D4A"/>
    <w:rsid w:val="006B4415"/>
    <w:rsid w:val="006B50CF"/>
    <w:rsid w:val="006B5B0F"/>
    <w:rsid w:val="006C03B8"/>
    <w:rsid w:val="006C460A"/>
    <w:rsid w:val="006C5EC9"/>
    <w:rsid w:val="006C6059"/>
    <w:rsid w:val="006C716E"/>
    <w:rsid w:val="006C7522"/>
    <w:rsid w:val="006C76D0"/>
    <w:rsid w:val="006D1EA3"/>
    <w:rsid w:val="006D5671"/>
    <w:rsid w:val="006D5D6A"/>
    <w:rsid w:val="006D6F08"/>
    <w:rsid w:val="006D79EB"/>
    <w:rsid w:val="006E062C"/>
    <w:rsid w:val="006E28B7"/>
    <w:rsid w:val="006E3310"/>
    <w:rsid w:val="006E4E39"/>
    <w:rsid w:val="006E5081"/>
    <w:rsid w:val="006E565E"/>
    <w:rsid w:val="006E673D"/>
    <w:rsid w:val="006E7442"/>
    <w:rsid w:val="006E7D3B"/>
    <w:rsid w:val="006F1B70"/>
    <w:rsid w:val="006F298A"/>
    <w:rsid w:val="006F341D"/>
    <w:rsid w:val="006F3CDE"/>
    <w:rsid w:val="006F4D9F"/>
    <w:rsid w:val="006F58D4"/>
    <w:rsid w:val="006F631F"/>
    <w:rsid w:val="006F75FD"/>
    <w:rsid w:val="00700BE0"/>
    <w:rsid w:val="00701B98"/>
    <w:rsid w:val="0070346E"/>
    <w:rsid w:val="00704EDB"/>
    <w:rsid w:val="00706101"/>
    <w:rsid w:val="00707072"/>
    <w:rsid w:val="00707D61"/>
    <w:rsid w:val="00710559"/>
    <w:rsid w:val="00712287"/>
    <w:rsid w:val="00712772"/>
    <w:rsid w:val="007128D5"/>
    <w:rsid w:val="007148D3"/>
    <w:rsid w:val="00715B9A"/>
    <w:rsid w:val="00725BFD"/>
    <w:rsid w:val="00726EA6"/>
    <w:rsid w:val="00727208"/>
    <w:rsid w:val="007274B5"/>
    <w:rsid w:val="00727680"/>
    <w:rsid w:val="00732461"/>
    <w:rsid w:val="007348B1"/>
    <w:rsid w:val="00735B6F"/>
    <w:rsid w:val="007362A6"/>
    <w:rsid w:val="00736D7D"/>
    <w:rsid w:val="00740E58"/>
    <w:rsid w:val="00741121"/>
    <w:rsid w:val="00741CCB"/>
    <w:rsid w:val="00742360"/>
    <w:rsid w:val="00742B87"/>
    <w:rsid w:val="00743C74"/>
    <w:rsid w:val="007445A0"/>
    <w:rsid w:val="0074524B"/>
    <w:rsid w:val="00747D8B"/>
    <w:rsid w:val="0075075F"/>
    <w:rsid w:val="00750A82"/>
    <w:rsid w:val="007511F4"/>
    <w:rsid w:val="00751228"/>
    <w:rsid w:val="007571E1"/>
    <w:rsid w:val="007604B2"/>
    <w:rsid w:val="00760BB7"/>
    <w:rsid w:val="00763517"/>
    <w:rsid w:val="00765281"/>
    <w:rsid w:val="00766BAD"/>
    <w:rsid w:val="00772E64"/>
    <w:rsid w:val="007730BD"/>
    <w:rsid w:val="0077345F"/>
    <w:rsid w:val="00773DEF"/>
    <w:rsid w:val="007755F2"/>
    <w:rsid w:val="00776971"/>
    <w:rsid w:val="00777B69"/>
    <w:rsid w:val="007807E8"/>
    <w:rsid w:val="007815C0"/>
    <w:rsid w:val="0078177E"/>
    <w:rsid w:val="00781A0B"/>
    <w:rsid w:val="00781A84"/>
    <w:rsid w:val="0078304C"/>
    <w:rsid w:val="00783673"/>
    <w:rsid w:val="007848F6"/>
    <w:rsid w:val="00785490"/>
    <w:rsid w:val="007911A6"/>
    <w:rsid w:val="007925EA"/>
    <w:rsid w:val="00792EED"/>
    <w:rsid w:val="00793995"/>
    <w:rsid w:val="00793CD8"/>
    <w:rsid w:val="007954D7"/>
    <w:rsid w:val="00795902"/>
    <w:rsid w:val="00795C92"/>
    <w:rsid w:val="00796231"/>
    <w:rsid w:val="0079702F"/>
    <w:rsid w:val="007A024E"/>
    <w:rsid w:val="007A1CB3"/>
    <w:rsid w:val="007A288E"/>
    <w:rsid w:val="007A306F"/>
    <w:rsid w:val="007A43A6"/>
    <w:rsid w:val="007A58A6"/>
    <w:rsid w:val="007A7513"/>
    <w:rsid w:val="007B39E9"/>
    <w:rsid w:val="007B3D2C"/>
    <w:rsid w:val="007B3D2D"/>
    <w:rsid w:val="007B50AE"/>
    <w:rsid w:val="007B51DF"/>
    <w:rsid w:val="007C05DD"/>
    <w:rsid w:val="007C2FE1"/>
    <w:rsid w:val="007C3D18"/>
    <w:rsid w:val="007C4E22"/>
    <w:rsid w:val="007C60BF"/>
    <w:rsid w:val="007C6A07"/>
    <w:rsid w:val="007C75A1"/>
    <w:rsid w:val="007C77A5"/>
    <w:rsid w:val="007D04E5"/>
    <w:rsid w:val="007D2FFD"/>
    <w:rsid w:val="007D5901"/>
    <w:rsid w:val="007D7526"/>
    <w:rsid w:val="007E33F0"/>
    <w:rsid w:val="007E4610"/>
    <w:rsid w:val="007E4715"/>
    <w:rsid w:val="007E4A46"/>
    <w:rsid w:val="007E505B"/>
    <w:rsid w:val="007E59EA"/>
    <w:rsid w:val="007E5C8E"/>
    <w:rsid w:val="007E7091"/>
    <w:rsid w:val="007F0AA5"/>
    <w:rsid w:val="007F2257"/>
    <w:rsid w:val="0080087F"/>
    <w:rsid w:val="00802A00"/>
    <w:rsid w:val="00802B77"/>
    <w:rsid w:val="008035EC"/>
    <w:rsid w:val="00803FAE"/>
    <w:rsid w:val="008053AA"/>
    <w:rsid w:val="0080605F"/>
    <w:rsid w:val="008060B1"/>
    <w:rsid w:val="0080678F"/>
    <w:rsid w:val="0080771B"/>
    <w:rsid w:val="00807786"/>
    <w:rsid w:val="00811FCB"/>
    <w:rsid w:val="008132EB"/>
    <w:rsid w:val="00814163"/>
    <w:rsid w:val="008158D6"/>
    <w:rsid w:val="00817196"/>
    <w:rsid w:val="008174EE"/>
    <w:rsid w:val="008235DB"/>
    <w:rsid w:val="00824414"/>
    <w:rsid w:val="00824AB4"/>
    <w:rsid w:val="00825C42"/>
    <w:rsid w:val="00825D25"/>
    <w:rsid w:val="00827D6F"/>
    <w:rsid w:val="00833841"/>
    <w:rsid w:val="00833DE9"/>
    <w:rsid w:val="0083755E"/>
    <w:rsid w:val="008376AC"/>
    <w:rsid w:val="00842C1A"/>
    <w:rsid w:val="008444E8"/>
    <w:rsid w:val="00844B7F"/>
    <w:rsid w:val="00844E80"/>
    <w:rsid w:val="00846E18"/>
    <w:rsid w:val="00846FE7"/>
    <w:rsid w:val="0085150D"/>
    <w:rsid w:val="008518D6"/>
    <w:rsid w:val="00851B83"/>
    <w:rsid w:val="008539B4"/>
    <w:rsid w:val="00853BF5"/>
    <w:rsid w:val="00853D38"/>
    <w:rsid w:val="00856911"/>
    <w:rsid w:val="008603FE"/>
    <w:rsid w:val="008622B1"/>
    <w:rsid w:val="008677D3"/>
    <w:rsid w:val="008677FD"/>
    <w:rsid w:val="008706D4"/>
    <w:rsid w:val="00870EE9"/>
    <w:rsid w:val="00870F8A"/>
    <w:rsid w:val="008719A4"/>
    <w:rsid w:val="00871D23"/>
    <w:rsid w:val="008723C5"/>
    <w:rsid w:val="0087404D"/>
    <w:rsid w:val="00874312"/>
    <w:rsid w:val="0087437C"/>
    <w:rsid w:val="00875CD7"/>
    <w:rsid w:val="00876B4D"/>
    <w:rsid w:val="00877F18"/>
    <w:rsid w:val="008805BB"/>
    <w:rsid w:val="008813D4"/>
    <w:rsid w:val="00886DC5"/>
    <w:rsid w:val="008907CC"/>
    <w:rsid w:val="0089424E"/>
    <w:rsid w:val="00894A88"/>
    <w:rsid w:val="00895386"/>
    <w:rsid w:val="0089777D"/>
    <w:rsid w:val="008A018F"/>
    <w:rsid w:val="008A1152"/>
    <w:rsid w:val="008A21FF"/>
    <w:rsid w:val="008A2CE2"/>
    <w:rsid w:val="008A30AC"/>
    <w:rsid w:val="008A44B8"/>
    <w:rsid w:val="008A51A8"/>
    <w:rsid w:val="008A54C7"/>
    <w:rsid w:val="008A585A"/>
    <w:rsid w:val="008A62A1"/>
    <w:rsid w:val="008A6BAE"/>
    <w:rsid w:val="008A7634"/>
    <w:rsid w:val="008A77D8"/>
    <w:rsid w:val="008B0483"/>
    <w:rsid w:val="008B120C"/>
    <w:rsid w:val="008B1A25"/>
    <w:rsid w:val="008B47D7"/>
    <w:rsid w:val="008B51A0"/>
    <w:rsid w:val="008B592A"/>
    <w:rsid w:val="008B665A"/>
    <w:rsid w:val="008B7B5C"/>
    <w:rsid w:val="008C0C99"/>
    <w:rsid w:val="008C2017"/>
    <w:rsid w:val="008C4879"/>
    <w:rsid w:val="008C4958"/>
    <w:rsid w:val="008C4BAA"/>
    <w:rsid w:val="008C5D57"/>
    <w:rsid w:val="008C6AE8"/>
    <w:rsid w:val="008C704B"/>
    <w:rsid w:val="008C7573"/>
    <w:rsid w:val="008D0B78"/>
    <w:rsid w:val="008D1A1C"/>
    <w:rsid w:val="008D34F1"/>
    <w:rsid w:val="008D38DD"/>
    <w:rsid w:val="008D39D8"/>
    <w:rsid w:val="008D5C3C"/>
    <w:rsid w:val="008D6D1A"/>
    <w:rsid w:val="008E065E"/>
    <w:rsid w:val="008E0927"/>
    <w:rsid w:val="008E1909"/>
    <w:rsid w:val="008E1FEE"/>
    <w:rsid w:val="008E7003"/>
    <w:rsid w:val="008E7E29"/>
    <w:rsid w:val="008F1A69"/>
    <w:rsid w:val="008F1EAB"/>
    <w:rsid w:val="008F28C5"/>
    <w:rsid w:val="008F33DC"/>
    <w:rsid w:val="008F477F"/>
    <w:rsid w:val="008F5F25"/>
    <w:rsid w:val="00901B60"/>
    <w:rsid w:val="00902350"/>
    <w:rsid w:val="0090336B"/>
    <w:rsid w:val="0090340F"/>
    <w:rsid w:val="009053AA"/>
    <w:rsid w:val="0090663C"/>
    <w:rsid w:val="00906939"/>
    <w:rsid w:val="00910B7D"/>
    <w:rsid w:val="0091125B"/>
    <w:rsid w:val="00911CA6"/>
    <w:rsid w:val="00911DFB"/>
    <w:rsid w:val="009127B9"/>
    <w:rsid w:val="009139D9"/>
    <w:rsid w:val="00913D06"/>
    <w:rsid w:val="00914AD8"/>
    <w:rsid w:val="00914C9B"/>
    <w:rsid w:val="00916079"/>
    <w:rsid w:val="00917CE9"/>
    <w:rsid w:val="00920BF2"/>
    <w:rsid w:val="00920C42"/>
    <w:rsid w:val="009211F8"/>
    <w:rsid w:val="00921AB2"/>
    <w:rsid w:val="00922010"/>
    <w:rsid w:val="009227B3"/>
    <w:rsid w:val="0092669D"/>
    <w:rsid w:val="00926E43"/>
    <w:rsid w:val="00927452"/>
    <w:rsid w:val="00931BD9"/>
    <w:rsid w:val="00933A1F"/>
    <w:rsid w:val="009344E7"/>
    <w:rsid w:val="0093582B"/>
    <w:rsid w:val="009368F3"/>
    <w:rsid w:val="00937A0D"/>
    <w:rsid w:val="00940FBF"/>
    <w:rsid w:val="00941636"/>
    <w:rsid w:val="00943742"/>
    <w:rsid w:val="00943DAE"/>
    <w:rsid w:val="00945C05"/>
    <w:rsid w:val="00946945"/>
    <w:rsid w:val="00946E82"/>
    <w:rsid w:val="00947713"/>
    <w:rsid w:val="00950DE7"/>
    <w:rsid w:val="00952923"/>
    <w:rsid w:val="00953920"/>
    <w:rsid w:val="00953D47"/>
    <w:rsid w:val="00953F27"/>
    <w:rsid w:val="009542C6"/>
    <w:rsid w:val="0095681E"/>
    <w:rsid w:val="009572D4"/>
    <w:rsid w:val="00961921"/>
    <w:rsid w:val="0096430A"/>
    <w:rsid w:val="00964668"/>
    <w:rsid w:val="0096554B"/>
    <w:rsid w:val="0096584A"/>
    <w:rsid w:val="0096585C"/>
    <w:rsid w:val="009709F0"/>
    <w:rsid w:val="00971F08"/>
    <w:rsid w:val="00972DA3"/>
    <w:rsid w:val="00974CDE"/>
    <w:rsid w:val="0097603D"/>
    <w:rsid w:val="00976949"/>
    <w:rsid w:val="009775C2"/>
    <w:rsid w:val="00980477"/>
    <w:rsid w:val="009843EA"/>
    <w:rsid w:val="00985253"/>
    <w:rsid w:val="009853B3"/>
    <w:rsid w:val="009865EA"/>
    <w:rsid w:val="009869B9"/>
    <w:rsid w:val="0098734F"/>
    <w:rsid w:val="00990023"/>
    <w:rsid w:val="00990630"/>
    <w:rsid w:val="00991761"/>
    <w:rsid w:val="00992234"/>
    <w:rsid w:val="00994DCA"/>
    <w:rsid w:val="009960EC"/>
    <w:rsid w:val="00996447"/>
    <w:rsid w:val="009970DD"/>
    <w:rsid w:val="009A0FBA"/>
    <w:rsid w:val="009A1601"/>
    <w:rsid w:val="009A1C15"/>
    <w:rsid w:val="009A33EB"/>
    <w:rsid w:val="009A35B6"/>
    <w:rsid w:val="009A462D"/>
    <w:rsid w:val="009A5CBA"/>
    <w:rsid w:val="009B073F"/>
    <w:rsid w:val="009B0F78"/>
    <w:rsid w:val="009B173B"/>
    <w:rsid w:val="009B1F30"/>
    <w:rsid w:val="009B3AC2"/>
    <w:rsid w:val="009B3ED8"/>
    <w:rsid w:val="009B4DF4"/>
    <w:rsid w:val="009B564E"/>
    <w:rsid w:val="009B6144"/>
    <w:rsid w:val="009B64E5"/>
    <w:rsid w:val="009B7E87"/>
    <w:rsid w:val="009C07DE"/>
    <w:rsid w:val="009C0FEE"/>
    <w:rsid w:val="009C403E"/>
    <w:rsid w:val="009C4B78"/>
    <w:rsid w:val="009C5718"/>
    <w:rsid w:val="009C7C3E"/>
    <w:rsid w:val="009D00F1"/>
    <w:rsid w:val="009D14E5"/>
    <w:rsid w:val="009D19B5"/>
    <w:rsid w:val="009D32D0"/>
    <w:rsid w:val="009D3FA4"/>
    <w:rsid w:val="009D4FF0"/>
    <w:rsid w:val="009D5CCC"/>
    <w:rsid w:val="009D703C"/>
    <w:rsid w:val="009D718F"/>
    <w:rsid w:val="009E068F"/>
    <w:rsid w:val="009E12F2"/>
    <w:rsid w:val="009E14E0"/>
    <w:rsid w:val="009E35DB"/>
    <w:rsid w:val="009E47A3"/>
    <w:rsid w:val="009F08F3"/>
    <w:rsid w:val="009F17E5"/>
    <w:rsid w:val="009F1C7A"/>
    <w:rsid w:val="009F344F"/>
    <w:rsid w:val="00A00DFE"/>
    <w:rsid w:val="00A010C0"/>
    <w:rsid w:val="00A01801"/>
    <w:rsid w:val="00A0221E"/>
    <w:rsid w:val="00A038F0"/>
    <w:rsid w:val="00A048A8"/>
    <w:rsid w:val="00A04F49"/>
    <w:rsid w:val="00A105A7"/>
    <w:rsid w:val="00A113D9"/>
    <w:rsid w:val="00A117FF"/>
    <w:rsid w:val="00A123D7"/>
    <w:rsid w:val="00A12B59"/>
    <w:rsid w:val="00A13E54"/>
    <w:rsid w:val="00A15263"/>
    <w:rsid w:val="00A17AE8"/>
    <w:rsid w:val="00A17F63"/>
    <w:rsid w:val="00A2193B"/>
    <w:rsid w:val="00A21ECF"/>
    <w:rsid w:val="00A2275F"/>
    <w:rsid w:val="00A2351A"/>
    <w:rsid w:val="00A264A9"/>
    <w:rsid w:val="00A27785"/>
    <w:rsid w:val="00A30187"/>
    <w:rsid w:val="00A3448A"/>
    <w:rsid w:val="00A36297"/>
    <w:rsid w:val="00A41E2B"/>
    <w:rsid w:val="00A452EA"/>
    <w:rsid w:val="00A45B74"/>
    <w:rsid w:val="00A46072"/>
    <w:rsid w:val="00A51D66"/>
    <w:rsid w:val="00A525D9"/>
    <w:rsid w:val="00A52E1D"/>
    <w:rsid w:val="00A5404F"/>
    <w:rsid w:val="00A55928"/>
    <w:rsid w:val="00A5609B"/>
    <w:rsid w:val="00A61499"/>
    <w:rsid w:val="00A62256"/>
    <w:rsid w:val="00A62A77"/>
    <w:rsid w:val="00A63483"/>
    <w:rsid w:val="00A64406"/>
    <w:rsid w:val="00A651B9"/>
    <w:rsid w:val="00A657D7"/>
    <w:rsid w:val="00A660AC"/>
    <w:rsid w:val="00A67E6C"/>
    <w:rsid w:val="00A704D1"/>
    <w:rsid w:val="00A70D16"/>
    <w:rsid w:val="00A71324"/>
    <w:rsid w:val="00A718B0"/>
    <w:rsid w:val="00A71B99"/>
    <w:rsid w:val="00A739D0"/>
    <w:rsid w:val="00A73F1D"/>
    <w:rsid w:val="00A761D4"/>
    <w:rsid w:val="00A77463"/>
    <w:rsid w:val="00A77EC4"/>
    <w:rsid w:val="00A80728"/>
    <w:rsid w:val="00A80974"/>
    <w:rsid w:val="00A813F9"/>
    <w:rsid w:val="00A90FDC"/>
    <w:rsid w:val="00A924E3"/>
    <w:rsid w:val="00A92879"/>
    <w:rsid w:val="00A9442A"/>
    <w:rsid w:val="00A94667"/>
    <w:rsid w:val="00A94923"/>
    <w:rsid w:val="00AA016F"/>
    <w:rsid w:val="00AA1ED6"/>
    <w:rsid w:val="00AA51D6"/>
    <w:rsid w:val="00AA51DB"/>
    <w:rsid w:val="00AB0BC8"/>
    <w:rsid w:val="00AB11CA"/>
    <w:rsid w:val="00AB12C7"/>
    <w:rsid w:val="00AB14D9"/>
    <w:rsid w:val="00AB3EF9"/>
    <w:rsid w:val="00AB4AB8"/>
    <w:rsid w:val="00AB655E"/>
    <w:rsid w:val="00AC007F"/>
    <w:rsid w:val="00AC0E62"/>
    <w:rsid w:val="00AC1A6E"/>
    <w:rsid w:val="00AC2922"/>
    <w:rsid w:val="00AC2ECD"/>
    <w:rsid w:val="00AC3119"/>
    <w:rsid w:val="00AC49FB"/>
    <w:rsid w:val="00AC4BDE"/>
    <w:rsid w:val="00AC5405"/>
    <w:rsid w:val="00AC5A10"/>
    <w:rsid w:val="00AC5FC9"/>
    <w:rsid w:val="00AC6ABB"/>
    <w:rsid w:val="00AC6C53"/>
    <w:rsid w:val="00AC7ACE"/>
    <w:rsid w:val="00AD0AA3"/>
    <w:rsid w:val="00AD0DA6"/>
    <w:rsid w:val="00AD13B5"/>
    <w:rsid w:val="00AD3F94"/>
    <w:rsid w:val="00AD4A5A"/>
    <w:rsid w:val="00AD553E"/>
    <w:rsid w:val="00AE0DAA"/>
    <w:rsid w:val="00AE27AC"/>
    <w:rsid w:val="00AE2834"/>
    <w:rsid w:val="00AE40E0"/>
    <w:rsid w:val="00AE4195"/>
    <w:rsid w:val="00AE4DBA"/>
    <w:rsid w:val="00AE4F07"/>
    <w:rsid w:val="00AE6860"/>
    <w:rsid w:val="00AF08C1"/>
    <w:rsid w:val="00AF1B94"/>
    <w:rsid w:val="00AF1C5D"/>
    <w:rsid w:val="00AF2C82"/>
    <w:rsid w:val="00AF42D7"/>
    <w:rsid w:val="00AF43C1"/>
    <w:rsid w:val="00AF520C"/>
    <w:rsid w:val="00AF58B9"/>
    <w:rsid w:val="00B006FE"/>
    <w:rsid w:val="00B007CB"/>
    <w:rsid w:val="00B0231E"/>
    <w:rsid w:val="00B02AA9"/>
    <w:rsid w:val="00B02FA3"/>
    <w:rsid w:val="00B05084"/>
    <w:rsid w:val="00B0542D"/>
    <w:rsid w:val="00B06A4D"/>
    <w:rsid w:val="00B06ADF"/>
    <w:rsid w:val="00B13150"/>
    <w:rsid w:val="00B157F9"/>
    <w:rsid w:val="00B172E5"/>
    <w:rsid w:val="00B20256"/>
    <w:rsid w:val="00B209DA"/>
    <w:rsid w:val="00B20D09"/>
    <w:rsid w:val="00B21190"/>
    <w:rsid w:val="00B223E2"/>
    <w:rsid w:val="00B2763F"/>
    <w:rsid w:val="00B27AAC"/>
    <w:rsid w:val="00B304F3"/>
    <w:rsid w:val="00B30929"/>
    <w:rsid w:val="00B30A16"/>
    <w:rsid w:val="00B35059"/>
    <w:rsid w:val="00B372AA"/>
    <w:rsid w:val="00B40445"/>
    <w:rsid w:val="00B40BEF"/>
    <w:rsid w:val="00B41888"/>
    <w:rsid w:val="00B42A64"/>
    <w:rsid w:val="00B43D88"/>
    <w:rsid w:val="00B450ED"/>
    <w:rsid w:val="00B45A52"/>
    <w:rsid w:val="00B46175"/>
    <w:rsid w:val="00B472A6"/>
    <w:rsid w:val="00B47326"/>
    <w:rsid w:val="00B47773"/>
    <w:rsid w:val="00B5024A"/>
    <w:rsid w:val="00B50482"/>
    <w:rsid w:val="00B508BC"/>
    <w:rsid w:val="00B50E7A"/>
    <w:rsid w:val="00B54525"/>
    <w:rsid w:val="00B55024"/>
    <w:rsid w:val="00B55F5B"/>
    <w:rsid w:val="00B6188F"/>
    <w:rsid w:val="00B63B71"/>
    <w:rsid w:val="00B64C68"/>
    <w:rsid w:val="00B664C7"/>
    <w:rsid w:val="00B67765"/>
    <w:rsid w:val="00B739F6"/>
    <w:rsid w:val="00B73CB1"/>
    <w:rsid w:val="00B805B1"/>
    <w:rsid w:val="00B8099A"/>
    <w:rsid w:val="00B80CF1"/>
    <w:rsid w:val="00B81A6C"/>
    <w:rsid w:val="00B831B5"/>
    <w:rsid w:val="00B83A55"/>
    <w:rsid w:val="00B85DE5"/>
    <w:rsid w:val="00B870B8"/>
    <w:rsid w:val="00B876A6"/>
    <w:rsid w:val="00B90F73"/>
    <w:rsid w:val="00B91CDE"/>
    <w:rsid w:val="00B93B59"/>
    <w:rsid w:val="00B93F7E"/>
    <w:rsid w:val="00B9406A"/>
    <w:rsid w:val="00B97752"/>
    <w:rsid w:val="00BA0BB8"/>
    <w:rsid w:val="00BA2280"/>
    <w:rsid w:val="00BA2A08"/>
    <w:rsid w:val="00BA56D2"/>
    <w:rsid w:val="00BA76E0"/>
    <w:rsid w:val="00BB185F"/>
    <w:rsid w:val="00BB2A25"/>
    <w:rsid w:val="00BB2C0F"/>
    <w:rsid w:val="00BB32D4"/>
    <w:rsid w:val="00BB40AC"/>
    <w:rsid w:val="00BB51E9"/>
    <w:rsid w:val="00BC0826"/>
    <w:rsid w:val="00BC0FDC"/>
    <w:rsid w:val="00BC3053"/>
    <w:rsid w:val="00BC4531"/>
    <w:rsid w:val="00BC4D2E"/>
    <w:rsid w:val="00BC70C4"/>
    <w:rsid w:val="00BC7AF0"/>
    <w:rsid w:val="00BD0725"/>
    <w:rsid w:val="00BD19C7"/>
    <w:rsid w:val="00BD3A92"/>
    <w:rsid w:val="00BD48AC"/>
    <w:rsid w:val="00BD5AF3"/>
    <w:rsid w:val="00BD5F1A"/>
    <w:rsid w:val="00BD65F9"/>
    <w:rsid w:val="00BD7BBF"/>
    <w:rsid w:val="00BE1234"/>
    <w:rsid w:val="00BE13F8"/>
    <w:rsid w:val="00BE2FA6"/>
    <w:rsid w:val="00BE333F"/>
    <w:rsid w:val="00BE7406"/>
    <w:rsid w:val="00BE7603"/>
    <w:rsid w:val="00BF0847"/>
    <w:rsid w:val="00BF28E5"/>
    <w:rsid w:val="00BF2D11"/>
    <w:rsid w:val="00BF3279"/>
    <w:rsid w:val="00BF63E9"/>
    <w:rsid w:val="00BF64EC"/>
    <w:rsid w:val="00BF74C7"/>
    <w:rsid w:val="00C015F1"/>
    <w:rsid w:val="00C01F33"/>
    <w:rsid w:val="00C02188"/>
    <w:rsid w:val="00C02CC6"/>
    <w:rsid w:val="00C040F7"/>
    <w:rsid w:val="00C041B0"/>
    <w:rsid w:val="00C044AB"/>
    <w:rsid w:val="00C05706"/>
    <w:rsid w:val="00C07377"/>
    <w:rsid w:val="00C10478"/>
    <w:rsid w:val="00C11283"/>
    <w:rsid w:val="00C113FE"/>
    <w:rsid w:val="00C12107"/>
    <w:rsid w:val="00C13D72"/>
    <w:rsid w:val="00C14D4B"/>
    <w:rsid w:val="00C154BB"/>
    <w:rsid w:val="00C20B2C"/>
    <w:rsid w:val="00C2526D"/>
    <w:rsid w:val="00C27565"/>
    <w:rsid w:val="00C27885"/>
    <w:rsid w:val="00C279B5"/>
    <w:rsid w:val="00C27B4D"/>
    <w:rsid w:val="00C27C45"/>
    <w:rsid w:val="00C3020D"/>
    <w:rsid w:val="00C326C3"/>
    <w:rsid w:val="00C35570"/>
    <w:rsid w:val="00C3670E"/>
    <w:rsid w:val="00C36B3F"/>
    <w:rsid w:val="00C3719D"/>
    <w:rsid w:val="00C42D2C"/>
    <w:rsid w:val="00C473E2"/>
    <w:rsid w:val="00C47556"/>
    <w:rsid w:val="00C479CB"/>
    <w:rsid w:val="00C50416"/>
    <w:rsid w:val="00C5082B"/>
    <w:rsid w:val="00C53C5B"/>
    <w:rsid w:val="00C54995"/>
    <w:rsid w:val="00C54D41"/>
    <w:rsid w:val="00C60783"/>
    <w:rsid w:val="00C60E21"/>
    <w:rsid w:val="00C61BF7"/>
    <w:rsid w:val="00C622C2"/>
    <w:rsid w:val="00C64672"/>
    <w:rsid w:val="00C70697"/>
    <w:rsid w:val="00C72EF4"/>
    <w:rsid w:val="00C72FDC"/>
    <w:rsid w:val="00C75D2F"/>
    <w:rsid w:val="00C767BE"/>
    <w:rsid w:val="00C76E3C"/>
    <w:rsid w:val="00C7786C"/>
    <w:rsid w:val="00C80371"/>
    <w:rsid w:val="00C80503"/>
    <w:rsid w:val="00C81568"/>
    <w:rsid w:val="00C87E13"/>
    <w:rsid w:val="00C9027A"/>
    <w:rsid w:val="00C9068E"/>
    <w:rsid w:val="00C90B8C"/>
    <w:rsid w:val="00C9150B"/>
    <w:rsid w:val="00C91A55"/>
    <w:rsid w:val="00C92FBB"/>
    <w:rsid w:val="00C93938"/>
    <w:rsid w:val="00C93B11"/>
    <w:rsid w:val="00C93C4B"/>
    <w:rsid w:val="00C944AB"/>
    <w:rsid w:val="00C952B7"/>
    <w:rsid w:val="00C95B1A"/>
    <w:rsid w:val="00C95B40"/>
    <w:rsid w:val="00C95C0D"/>
    <w:rsid w:val="00C970F8"/>
    <w:rsid w:val="00CA078F"/>
    <w:rsid w:val="00CA08C0"/>
    <w:rsid w:val="00CA1DBD"/>
    <w:rsid w:val="00CA1ED8"/>
    <w:rsid w:val="00CA21DB"/>
    <w:rsid w:val="00CA23F7"/>
    <w:rsid w:val="00CA410D"/>
    <w:rsid w:val="00CA4875"/>
    <w:rsid w:val="00CA537F"/>
    <w:rsid w:val="00CA54C2"/>
    <w:rsid w:val="00CA77A7"/>
    <w:rsid w:val="00CB10A4"/>
    <w:rsid w:val="00CB1F63"/>
    <w:rsid w:val="00CB7170"/>
    <w:rsid w:val="00CC040E"/>
    <w:rsid w:val="00CC111F"/>
    <w:rsid w:val="00CC2011"/>
    <w:rsid w:val="00CC3934"/>
    <w:rsid w:val="00CC3EA0"/>
    <w:rsid w:val="00CC4985"/>
    <w:rsid w:val="00CC5BCC"/>
    <w:rsid w:val="00CC6CE1"/>
    <w:rsid w:val="00CC7B45"/>
    <w:rsid w:val="00CD1188"/>
    <w:rsid w:val="00CD13B4"/>
    <w:rsid w:val="00CD1FD1"/>
    <w:rsid w:val="00CD2ED1"/>
    <w:rsid w:val="00CD337B"/>
    <w:rsid w:val="00CD4918"/>
    <w:rsid w:val="00CD55A1"/>
    <w:rsid w:val="00CD600D"/>
    <w:rsid w:val="00CE0092"/>
    <w:rsid w:val="00CE0424"/>
    <w:rsid w:val="00CE5B77"/>
    <w:rsid w:val="00CE63BC"/>
    <w:rsid w:val="00CE7561"/>
    <w:rsid w:val="00CE7D28"/>
    <w:rsid w:val="00CF08DE"/>
    <w:rsid w:val="00CF1354"/>
    <w:rsid w:val="00CF1AE8"/>
    <w:rsid w:val="00CF3B1F"/>
    <w:rsid w:val="00CF3BF6"/>
    <w:rsid w:val="00CF6010"/>
    <w:rsid w:val="00CF625B"/>
    <w:rsid w:val="00CF687E"/>
    <w:rsid w:val="00D007D5"/>
    <w:rsid w:val="00D00C0D"/>
    <w:rsid w:val="00D00EAE"/>
    <w:rsid w:val="00D0349B"/>
    <w:rsid w:val="00D07599"/>
    <w:rsid w:val="00D10249"/>
    <w:rsid w:val="00D10B85"/>
    <w:rsid w:val="00D115C3"/>
    <w:rsid w:val="00D11897"/>
    <w:rsid w:val="00D11BDB"/>
    <w:rsid w:val="00D12870"/>
    <w:rsid w:val="00D13135"/>
    <w:rsid w:val="00D13E4E"/>
    <w:rsid w:val="00D21442"/>
    <w:rsid w:val="00D21B13"/>
    <w:rsid w:val="00D239A7"/>
    <w:rsid w:val="00D23F47"/>
    <w:rsid w:val="00D26F16"/>
    <w:rsid w:val="00D2719B"/>
    <w:rsid w:val="00D27B25"/>
    <w:rsid w:val="00D36E71"/>
    <w:rsid w:val="00D37D87"/>
    <w:rsid w:val="00D40B33"/>
    <w:rsid w:val="00D42BED"/>
    <w:rsid w:val="00D4318F"/>
    <w:rsid w:val="00D438BF"/>
    <w:rsid w:val="00D43D3F"/>
    <w:rsid w:val="00D43DD5"/>
    <w:rsid w:val="00D440F8"/>
    <w:rsid w:val="00D458F0"/>
    <w:rsid w:val="00D4602D"/>
    <w:rsid w:val="00D46EE0"/>
    <w:rsid w:val="00D50CCB"/>
    <w:rsid w:val="00D50F97"/>
    <w:rsid w:val="00D546FF"/>
    <w:rsid w:val="00D549BF"/>
    <w:rsid w:val="00D55AD5"/>
    <w:rsid w:val="00D572DF"/>
    <w:rsid w:val="00D576CA"/>
    <w:rsid w:val="00D60E0E"/>
    <w:rsid w:val="00D61AF5"/>
    <w:rsid w:val="00D62708"/>
    <w:rsid w:val="00D6506C"/>
    <w:rsid w:val="00D652B5"/>
    <w:rsid w:val="00D66155"/>
    <w:rsid w:val="00D708B0"/>
    <w:rsid w:val="00D70E5B"/>
    <w:rsid w:val="00D73284"/>
    <w:rsid w:val="00D733C5"/>
    <w:rsid w:val="00D764CD"/>
    <w:rsid w:val="00D77B1D"/>
    <w:rsid w:val="00D8016E"/>
    <w:rsid w:val="00D8021F"/>
    <w:rsid w:val="00D80383"/>
    <w:rsid w:val="00D823C6"/>
    <w:rsid w:val="00D82A9C"/>
    <w:rsid w:val="00D835D5"/>
    <w:rsid w:val="00D86137"/>
    <w:rsid w:val="00D86CA3"/>
    <w:rsid w:val="00D871CE"/>
    <w:rsid w:val="00D87706"/>
    <w:rsid w:val="00D90794"/>
    <w:rsid w:val="00D9196D"/>
    <w:rsid w:val="00D92547"/>
    <w:rsid w:val="00D92982"/>
    <w:rsid w:val="00D94BF0"/>
    <w:rsid w:val="00DA1FCE"/>
    <w:rsid w:val="00DA2035"/>
    <w:rsid w:val="00DA23A9"/>
    <w:rsid w:val="00DA305E"/>
    <w:rsid w:val="00DA385D"/>
    <w:rsid w:val="00DA5417"/>
    <w:rsid w:val="00DA56E8"/>
    <w:rsid w:val="00DA5C31"/>
    <w:rsid w:val="00DB0A9F"/>
    <w:rsid w:val="00DB11C1"/>
    <w:rsid w:val="00DB377D"/>
    <w:rsid w:val="00DB4A72"/>
    <w:rsid w:val="00DB6466"/>
    <w:rsid w:val="00DB670C"/>
    <w:rsid w:val="00DC2D36"/>
    <w:rsid w:val="00DC53EF"/>
    <w:rsid w:val="00DE0DCE"/>
    <w:rsid w:val="00DE1C7E"/>
    <w:rsid w:val="00DE29CD"/>
    <w:rsid w:val="00DE323F"/>
    <w:rsid w:val="00DE3BC4"/>
    <w:rsid w:val="00DE5608"/>
    <w:rsid w:val="00DE58D0"/>
    <w:rsid w:val="00DE654F"/>
    <w:rsid w:val="00DE6A26"/>
    <w:rsid w:val="00DF0B6E"/>
    <w:rsid w:val="00DF15E0"/>
    <w:rsid w:val="00DF37A0"/>
    <w:rsid w:val="00DF68FD"/>
    <w:rsid w:val="00DF71A0"/>
    <w:rsid w:val="00E00572"/>
    <w:rsid w:val="00E00C20"/>
    <w:rsid w:val="00E03F0D"/>
    <w:rsid w:val="00E05F41"/>
    <w:rsid w:val="00E110E7"/>
    <w:rsid w:val="00E11B20"/>
    <w:rsid w:val="00E125A2"/>
    <w:rsid w:val="00E14038"/>
    <w:rsid w:val="00E14D9A"/>
    <w:rsid w:val="00E16D0F"/>
    <w:rsid w:val="00E17FA2"/>
    <w:rsid w:val="00E20508"/>
    <w:rsid w:val="00E21461"/>
    <w:rsid w:val="00E215E6"/>
    <w:rsid w:val="00E22130"/>
    <w:rsid w:val="00E22330"/>
    <w:rsid w:val="00E245E8"/>
    <w:rsid w:val="00E255A3"/>
    <w:rsid w:val="00E25DE7"/>
    <w:rsid w:val="00E26FFA"/>
    <w:rsid w:val="00E30B5A"/>
    <w:rsid w:val="00E3123D"/>
    <w:rsid w:val="00E31461"/>
    <w:rsid w:val="00E31D43"/>
    <w:rsid w:val="00E32608"/>
    <w:rsid w:val="00E32D01"/>
    <w:rsid w:val="00E34188"/>
    <w:rsid w:val="00E341C3"/>
    <w:rsid w:val="00E34ABA"/>
    <w:rsid w:val="00E34B6E"/>
    <w:rsid w:val="00E35559"/>
    <w:rsid w:val="00E35CE9"/>
    <w:rsid w:val="00E3723A"/>
    <w:rsid w:val="00E37860"/>
    <w:rsid w:val="00E446F1"/>
    <w:rsid w:val="00E451BD"/>
    <w:rsid w:val="00E45FA1"/>
    <w:rsid w:val="00E46886"/>
    <w:rsid w:val="00E47AEF"/>
    <w:rsid w:val="00E53B75"/>
    <w:rsid w:val="00E5485D"/>
    <w:rsid w:val="00E54E3B"/>
    <w:rsid w:val="00E55D0E"/>
    <w:rsid w:val="00E57056"/>
    <w:rsid w:val="00E57269"/>
    <w:rsid w:val="00E57565"/>
    <w:rsid w:val="00E63838"/>
    <w:rsid w:val="00E64434"/>
    <w:rsid w:val="00E645D3"/>
    <w:rsid w:val="00E660D3"/>
    <w:rsid w:val="00E67C51"/>
    <w:rsid w:val="00E72EFC"/>
    <w:rsid w:val="00E758EC"/>
    <w:rsid w:val="00E7640C"/>
    <w:rsid w:val="00E8234C"/>
    <w:rsid w:val="00E83AA9"/>
    <w:rsid w:val="00E84570"/>
    <w:rsid w:val="00E85928"/>
    <w:rsid w:val="00E87822"/>
    <w:rsid w:val="00E90395"/>
    <w:rsid w:val="00E90D36"/>
    <w:rsid w:val="00E90E49"/>
    <w:rsid w:val="00E917F9"/>
    <w:rsid w:val="00E92060"/>
    <w:rsid w:val="00E9291C"/>
    <w:rsid w:val="00E93FFE"/>
    <w:rsid w:val="00E94F8A"/>
    <w:rsid w:val="00EA0A81"/>
    <w:rsid w:val="00EA681A"/>
    <w:rsid w:val="00EA763E"/>
    <w:rsid w:val="00EA7A41"/>
    <w:rsid w:val="00EB077B"/>
    <w:rsid w:val="00EB30F6"/>
    <w:rsid w:val="00EB4EA2"/>
    <w:rsid w:val="00EC093C"/>
    <w:rsid w:val="00EC27C6"/>
    <w:rsid w:val="00EC4207"/>
    <w:rsid w:val="00EC496F"/>
    <w:rsid w:val="00EC509A"/>
    <w:rsid w:val="00EC5653"/>
    <w:rsid w:val="00EC71CE"/>
    <w:rsid w:val="00EC7E25"/>
    <w:rsid w:val="00ED1006"/>
    <w:rsid w:val="00ED4390"/>
    <w:rsid w:val="00ED4B52"/>
    <w:rsid w:val="00ED53B1"/>
    <w:rsid w:val="00ED7463"/>
    <w:rsid w:val="00EE65B0"/>
    <w:rsid w:val="00EF18FE"/>
    <w:rsid w:val="00EF5787"/>
    <w:rsid w:val="00EF58DC"/>
    <w:rsid w:val="00EF60D0"/>
    <w:rsid w:val="00F008A7"/>
    <w:rsid w:val="00F01F67"/>
    <w:rsid w:val="00F04D6B"/>
    <w:rsid w:val="00F0528D"/>
    <w:rsid w:val="00F06ADA"/>
    <w:rsid w:val="00F06C67"/>
    <w:rsid w:val="00F06DFD"/>
    <w:rsid w:val="00F071D1"/>
    <w:rsid w:val="00F07533"/>
    <w:rsid w:val="00F10629"/>
    <w:rsid w:val="00F11EF2"/>
    <w:rsid w:val="00F14720"/>
    <w:rsid w:val="00F154BD"/>
    <w:rsid w:val="00F15FA5"/>
    <w:rsid w:val="00F209B7"/>
    <w:rsid w:val="00F22B5B"/>
    <w:rsid w:val="00F2376F"/>
    <w:rsid w:val="00F242C2"/>
    <w:rsid w:val="00F243D8"/>
    <w:rsid w:val="00F25EEF"/>
    <w:rsid w:val="00F30828"/>
    <w:rsid w:val="00F3136C"/>
    <w:rsid w:val="00F313D6"/>
    <w:rsid w:val="00F32402"/>
    <w:rsid w:val="00F34CFF"/>
    <w:rsid w:val="00F35F97"/>
    <w:rsid w:val="00F35FE3"/>
    <w:rsid w:val="00F40F0C"/>
    <w:rsid w:val="00F451F9"/>
    <w:rsid w:val="00F4587C"/>
    <w:rsid w:val="00F4700B"/>
    <w:rsid w:val="00F4766C"/>
    <w:rsid w:val="00F507D1"/>
    <w:rsid w:val="00F519CE"/>
    <w:rsid w:val="00F51ADA"/>
    <w:rsid w:val="00F54B76"/>
    <w:rsid w:val="00F556EE"/>
    <w:rsid w:val="00F569D0"/>
    <w:rsid w:val="00F607C5"/>
    <w:rsid w:val="00F60DEA"/>
    <w:rsid w:val="00F62243"/>
    <w:rsid w:val="00F6302A"/>
    <w:rsid w:val="00F64C2B"/>
    <w:rsid w:val="00F651BE"/>
    <w:rsid w:val="00F6645C"/>
    <w:rsid w:val="00F675B5"/>
    <w:rsid w:val="00F67BA5"/>
    <w:rsid w:val="00F67F53"/>
    <w:rsid w:val="00F703BE"/>
    <w:rsid w:val="00F7082E"/>
    <w:rsid w:val="00F71F69"/>
    <w:rsid w:val="00F72B72"/>
    <w:rsid w:val="00F74BB9"/>
    <w:rsid w:val="00F75582"/>
    <w:rsid w:val="00F76EFA"/>
    <w:rsid w:val="00F77E75"/>
    <w:rsid w:val="00F804BE"/>
    <w:rsid w:val="00F809C2"/>
    <w:rsid w:val="00F817CE"/>
    <w:rsid w:val="00F819E5"/>
    <w:rsid w:val="00F8456C"/>
    <w:rsid w:val="00F859D8"/>
    <w:rsid w:val="00F868F5"/>
    <w:rsid w:val="00F87808"/>
    <w:rsid w:val="00F879FF"/>
    <w:rsid w:val="00F9056A"/>
    <w:rsid w:val="00F90F8D"/>
    <w:rsid w:val="00F926B9"/>
    <w:rsid w:val="00F92782"/>
    <w:rsid w:val="00F93AA9"/>
    <w:rsid w:val="00F9483A"/>
    <w:rsid w:val="00F949FE"/>
    <w:rsid w:val="00F96985"/>
    <w:rsid w:val="00F97838"/>
    <w:rsid w:val="00FA0CFE"/>
    <w:rsid w:val="00FA0FC6"/>
    <w:rsid w:val="00FA2BB3"/>
    <w:rsid w:val="00FA2D6E"/>
    <w:rsid w:val="00FA31B1"/>
    <w:rsid w:val="00FA5A21"/>
    <w:rsid w:val="00FA7BD3"/>
    <w:rsid w:val="00FB0457"/>
    <w:rsid w:val="00FB07A1"/>
    <w:rsid w:val="00FB4C31"/>
    <w:rsid w:val="00FB4C80"/>
    <w:rsid w:val="00FB6A6A"/>
    <w:rsid w:val="00FC12F3"/>
    <w:rsid w:val="00FC18D3"/>
    <w:rsid w:val="00FC476A"/>
    <w:rsid w:val="00FC6DDB"/>
    <w:rsid w:val="00FC7429"/>
    <w:rsid w:val="00FD07F6"/>
    <w:rsid w:val="00FD1EC8"/>
    <w:rsid w:val="00FD47ED"/>
    <w:rsid w:val="00FD615D"/>
    <w:rsid w:val="00FD638B"/>
    <w:rsid w:val="00FD74DB"/>
    <w:rsid w:val="00FD7660"/>
    <w:rsid w:val="00FE0655"/>
    <w:rsid w:val="00FE14EB"/>
    <w:rsid w:val="00FE1A6C"/>
    <w:rsid w:val="00FE2365"/>
    <w:rsid w:val="00FE4C7B"/>
    <w:rsid w:val="00FE5605"/>
    <w:rsid w:val="00FE7336"/>
    <w:rsid w:val="00FE787C"/>
    <w:rsid w:val="00FE7EA3"/>
    <w:rsid w:val="00FF0C2B"/>
    <w:rsid w:val="00FF45A5"/>
    <w:rsid w:val="00FF460C"/>
    <w:rsid w:val="00FF4D35"/>
    <w:rsid w:val="00FF53BB"/>
    <w:rsid w:val="00FF5C9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113D9"/>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D50F97"/>
    <w:pPr>
      <w:keepNext/>
      <w:keepLines/>
      <w:numPr>
        <w:numId w:val="1"/>
      </w:numPr>
      <w:pBdr>
        <w:top w:val="single" w:sz="12" w:space="3" w:color="auto"/>
      </w:pBdr>
      <w:tabs>
        <w:tab w:val="clear" w:pos="1992"/>
        <w:tab w:val="num" w:pos="432"/>
      </w:tabs>
      <w:overflowPunct w:val="0"/>
      <w:autoSpaceDE w:val="0"/>
      <w:autoSpaceDN w:val="0"/>
      <w:adjustRightInd w:val="0"/>
      <w:spacing w:before="240" w:after="180"/>
      <w:ind w:left="432"/>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tabs>
        <w:tab w:val="clear" w:pos="1287"/>
        <w:tab w:val="num" w:pos="720"/>
      </w:tabs>
      <w:spacing w:before="120"/>
      <w:ind w:left="7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A113D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113D9"/>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link w:val="B2Char"/>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table" w:styleId="TableGrid">
    <w:name w:val="Table Grid"/>
    <w:basedOn w:val="TableNormal"/>
    <w:rsid w:val="00E572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D553E"/>
    <w:rPr>
      <w:rFonts w:ascii="Arial" w:hAnsi="Arial"/>
      <w:lang w:val="en-GB" w:eastAsia="zh-CN"/>
    </w:rPr>
  </w:style>
  <w:style w:type="paragraph" w:styleId="ListParagraph">
    <w:name w:val="List Paragraph"/>
    <w:basedOn w:val="Normal"/>
    <w:uiPriority w:val="34"/>
    <w:qFormat/>
    <w:rsid w:val="003A7446"/>
    <w:pPr>
      <w:ind w:left="720"/>
      <w:contextualSpacing/>
    </w:pPr>
  </w:style>
  <w:style w:type="character" w:customStyle="1" w:styleId="TACChar">
    <w:name w:val="TAC Char"/>
    <w:link w:val="TAC"/>
    <w:locked/>
    <w:rsid w:val="00AC1A6E"/>
    <w:rPr>
      <w:rFonts w:asciiTheme="minorHAnsi" w:eastAsiaTheme="minorHAnsi" w:hAnsiTheme="minorHAnsi" w:cstheme="minorBidi"/>
      <w:sz w:val="18"/>
      <w:szCs w:val="22"/>
    </w:rPr>
  </w:style>
  <w:style w:type="character" w:customStyle="1" w:styleId="TAHCar">
    <w:name w:val="TAH Car"/>
    <w:link w:val="TAH"/>
    <w:rsid w:val="00AC1A6E"/>
    <w:rPr>
      <w:rFonts w:asciiTheme="minorHAnsi" w:eastAsiaTheme="minorHAnsi" w:hAnsiTheme="minorHAnsi" w:cstheme="minorBidi"/>
      <w:b/>
      <w:sz w:val="18"/>
      <w:szCs w:val="22"/>
    </w:rPr>
  </w:style>
  <w:style w:type="character" w:customStyle="1" w:styleId="B2Char">
    <w:name w:val="B2 Char"/>
    <w:link w:val="B2"/>
    <w:locked/>
    <w:rsid w:val="008A018F"/>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6D567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29248">
      <w:bodyDiv w:val="1"/>
      <w:marLeft w:val="0"/>
      <w:marRight w:val="0"/>
      <w:marTop w:val="0"/>
      <w:marBottom w:val="0"/>
      <w:divBdr>
        <w:top w:val="none" w:sz="0" w:space="0" w:color="auto"/>
        <w:left w:val="none" w:sz="0" w:space="0" w:color="auto"/>
        <w:bottom w:val="none" w:sz="0" w:space="0" w:color="auto"/>
        <w:right w:val="none" w:sz="0" w:space="0" w:color="auto"/>
      </w:divBdr>
    </w:div>
    <w:div w:id="102768082">
      <w:bodyDiv w:val="1"/>
      <w:marLeft w:val="0"/>
      <w:marRight w:val="0"/>
      <w:marTop w:val="0"/>
      <w:marBottom w:val="0"/>
      <w:divBdr>
        <w:top w:val="none" w:sz="0" w:space="0" w:color="auto"/>
        <w:left w:val="none" w:sz="0" w:space="0" w:color="auto"/>
        <w:bottom w:val="none" w:sz="0" w:space="0" w:color="auto"/>
        <w:right w:val="none" w:sz="0" w:space="0" w:color="auto"/>
      </w:divBdr>
    </w:div>
    <w:div w:id="443694866">
      <w:bodyDiv w:val="1"/>
      <w:marLeft w:val="0"/>
      <w:marRight w:val="0"/>
      <w:marTop w:val="0"/>
      <w:marBottom w:val="0"/>
      <w:divBdr>
        <w:top w:val="none" w:sz="0" w:space="0" w:color="auto"/>
        <w:left w:val="none" w:sz="0" w:space="0" w:color="auto"/>
        <w:bottom w:val="none" w:sz="0" w:space="0" w:color="auto"/>
        <w:right w:val="none" w:sz="0" w:space="0" w:color="auto"/>
      </w:divBdr>
    </w:div>
    <w:div w:id="445926574">
      <w:bodyDiv w:val="1"/>
      <w:marLeft w:val="0"/>
      <w:marRight w:val="0"/>
      <w:marTop w:val="0"/>
      <w:marBottom w:val="0"/>
      <w:divBdr>
        <w:top w:val="none" w:sz="0" w:space="0" w:color="auto"/>
        <w:left w:val="none" w:sz="0" w:space="0" w:color="auto"/>
        <w:bottom w:val="none" w:sz="0" w:space="0" w:color="auto"/>
        <w:right w:val="none" w:sz="0" w:space="0" w:color="auto"/>
      </w:divBdr>
    </w:div>
    <w:div w:id="645941236">
      <w:bodyDiv w:val="1"/>
      <w:marLeft w:val="0"/>
      <w:marRight w:val="0"/>
      <w:marTop w:val="0"/>
      <w:marBottom w:val="0"/>
      <w:divBdr>
        <w:top w:val="none" w:sz="0" w:space="0" w:color="auto"/>
        <w:left w:val="none" w:sz="0" w:space="0" w:color="auto"/>
        <w:bottom w:val="none" w:sz="0" w:space="0" w:color="auto"/>
        <w:right w:val="none" w:sz="0" w:space="0" w:color="auto"/>
      </w:divBdr>
    </w:div>
    <w:div w:id="763651122">
      <w:bodyDiv w:val="1"/>
      <w:marLeft w:val="0"/>
      <w:marRight w:val="0"/>
      <w:marTop w:val="0"/>
      <w:marBottom w:val="0"/>
      <w:divBdr>
        <w:top w:val="none" w:sz="0" w:space="0" w:color="auto"/>
        <w:left w:val="none" w:sz="0" w:space="0" w:color="auto"/>
        <w:bottom w:val="none" w:sz="0" w:space="0" w:color="auto"/>
        <w:right w:val="none" w:sz="0" w:space="0" w:color="auto"/>
      </w:divBdr>
    </w:div>
    <w:div w:id="1065489930">
      <w:bodyDiv w:val="1"/>
      <w:marLeft w:val="0"/>
      <w:marRight w:val="0"/>
      <w:marTop w:val="0"/>
      <w:marBottom w:val="0"/>
      <w:divBdr>
        <w:top w:val="none" w:sz="0" w:space="0" w:color="auto"/>
        <w:left w:val="none" w:sz="0" w:space="0" w:color="auto"/>
        <w:bottom w:val="none" w:sz="0" w:space="0" w:color="auto"/>
        <w:right w:val="none" w:sz="0" w:space="0" w:color="auto"/>
      </w:divBdr>
    </w:div>
    <w:div w:id="1207256893">
      <w:bodyDiv w:val="1"/>
      <w:marLeft w:val="0"/>
      <w:marRight w:val="0"/>
      <w:marTop w:val="0"/>
      <w:marBottom w:val="0"/>
      <w:divBdr>
        <w:top w:val="none" w:sz="0" w:space="0" w:color="auto"/>
        <w:left w:val="none" w:sz="0" w:space="0" w:color="auto"/>
        <w:bottom w:val="none" w:sz="0" w:space="0" w:color="auto"/>
        <w:right w:val="none" w:sz="0" w:space="0" w:color="auto"/>
      </w:divBdr>
    </w:div>
    <w:div w:id="1286738717">
      <w:bodyDiv w:val="1"/>
      <w:marLeft w:val="0"/>
      <w:marRight w:val="0"/>
      <w:marTop w:val="0"/>
      <w:marBottom w:val="0"/>
      <w:divBdr>
        <w:top w:val="none" w:sz="0" w:space="0" w:color="auto"/>
        <w:left w:val="none" w:sz="0" w:space="0" w:color="auto"/>
        <w:bottom w:val="none" w:sz="0" w:space="0" w:color="auto"/>
        <w:right w:val="none" w:sz="0" w:space="0" w:color="auto"/>
      </w:divBdr>
    </w:div>
    <w:div w:id="1455444756">
      <w:bodyDiv w:val="1"/>
      <w:marLeft w:val="0"/>
      <w:marRight w:val="0"/>
      <w:marTop w:val="0"/>
      <w:marBottom w:val="0"/>
      <w:divBdr>
        <w:top w:val="none" w:sz="0" w:space="0" w:color="auto"/>
        <w:left w:val="none" w:sz="0" w:space="0" w:color="auto"/>
        <w:bottom w:val="none" w:sz="0" w:space="0" w:color="auto"/>
        <w:right w:val="none" w:sz="0" w:space="0" w:color="auto"/>
      </w:divBdr>
    </w:div>
    <w:div w:id="1656959369">
      <w:bodyDiv w:val="1"/>
      <w:marLeft w:val="0"/>
      <w:marRight w:val="0"/>
      <w:marTop w:val="0"/>
      <w:marBottom w:val="0"/>
      <w:divBdr>
        <w:top w:val="none" w:sz="0" w:space="0" w:color="auto"/>
        <w:left w:val="none" w:sz="0" w:space="0" w:color="auto"/>
        <w:bottom w:val="none" w:sz="0" w:space="0" w:color="auto"/>
        <w:right w:val="none" w:sz="0" w:space="0" w:color="auto"/>
      </w:divBdr>
    </w:div>
    <w:div w:id="1686783742">
      <w:bodyDiv w:val="1"/>
      <w:marLeft w:val="0"/>
      <w:marRight w:val="0"/>
      <w:marTop w:val="0"/>
      <w:marBottom w:val="0"/>
      <w:divBdr>
        <w:top w:val="none" w:sz="0" w:space="0" w:color="auto"/>
        <w:left w:val="none" w:sz="0" w:space="0" w:color="auto"/>
        <w:bottom w:val="none" w:sz="0" w:space="0" w:color="auto"/>
        <w:right w:val="none" w:sz="0" w:space="0" w:color="auto"/>
      </w:divBdr>
    </w:div>
    <w:div w:id="1816410004">
      <w:bodyDiv w:val="1"/>
      <w:marLeft w:val="0"/>
      <w:marRight w:val="0"/>
      <w:marTop w:val="0"/>
      <w:marBottom w:val="0"/>
      <w:divBdr>
        <w:top w:val="none" w:sz="0" w:space="0" w:color="auto"/>
        <w:left w:val="none" w:sz="0" w:space="0" w:color="auto"/>
        <w:bottom w:val="none" w:sz="0" w:space="0" w:color="auto"/>
        <w:right w:val="none" w:sz="0" w:space="0" w:color="auto"/>
      </w:divBdr>
    </w:div>
    <w:div w:id="2138987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10.wmf"/><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8.wmf"/><Relationship Id="rId25" Type="http://schemas.openxmlformats.org/officeDocument/2006/relationships/image" Target="media/image12.wmf"/><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oleObject" Target="embeddings/oleObject3.bin"/><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oleObject" Target="embeddings/oleObject5.bin"/><Relationship Id="rId32" Type="http://schemas.openxmlformats.org/officeDocument/2006/relationships/image" Target="media/image15.png"/><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media/image11.wmf"/><Relationship Id="rId28" Type="http://schemas.openxmlformats.org/officeDocument/2006/relationships/oleObject" Target="embeddings/oleObject8.bin"/><Relationship Id="rId36"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image" Target="media/image9.wmf"/><Relationship Id="rId31" Type="http://schemas.openxmlformats.org/officeDocument/2006/relationships/image" Target="media/image14.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image" Target="media/image13.png"/><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2.xml><?xml version="1.0" encoding="utf-8"?>
<ds:datastoreItem xmlns:ds="http://schemas.openxmlformats.org/officeDocument/2006/customXml" ds:itemID="{FDD41AC8-6A2B-4D4E-B48F-921D0C5F8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5702</Words>
  <Characters>32507</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38133</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2018-01-12T09:49:00Z</dcterms:created>
  <dcterms:modified xsi:type="dcterms:W3CDTF">2018-05-11T14:56:00Z</dcterms:modified>
</cp:coreProperties>
</file>